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Y="-89"/>
        <w:tblW w:w="0" w:type="auto"/>
        <w:tblLook w:val="04A0" w:firstRow="1" w:lastRow="0" w:firstColumn="1" w:lastColumn="0" w:noHBand="0" w:noVBand="1"/>
      </w:tblPr>
      <w:tblGrid>
        <w:gridCol w:w="9698"/>
      </w:tblGrid>
      <w:tr w:rsidR="001E007B" w14:paraId="42C58906" w14:textId="77777777" w:rsidTr="001E007B">
        <w:trPr>
          <w:trHeight w:val="80"/>
        </w:trPr>
        <w:tc>
          <w:tcPr>
            <w:tcW w:w="9698" w:type="dxa"/>
            <w:shd w:val="clear" w:color="auto" w:fill="1E4E79"/>
            <w:vAlign w:val="center"/>
          </w:tcPr>
          <w:p w14:paraId="598E4A4E" w14:textId="3BAF0489" w:rsidR="001E007B" w:rsidRPr="003538E2" w:rsidRDefault="001E007B" w:rsidP="001E007B">
            <w:pPr>
              <w:pStyle w:val="MetaLine"/>
              <w:spacing w:after="0" w:line="240" w:lineRule="auto"/>
              <w:jc w:val="center"/>
              <w:rPr>
                <w:rFonts w:ascii="Book Antiqua" w:hAnsi="Book Antiqua" w:cs="Times New Roman"/>
                <w:color w:val="FFFFFF" w:themeColor="background1"/>
                <w:sz w:val="22"/>
              </w:rPr>
            </w:pPr>
            <w:r w:rsidRPr="003538E2">
              <w:rPr>
                <w:rFonts w:ascii="Book Antiqua" w:hAnsi="Book Antiqua" w:cs="Times New Roman"/>
                <w:b/>
                <w:color w:val="FFFFFF" w:themeColor="background1"/>
                <w:sz w:val="22"/>
              </w:rPr>
              <w:t xml:space="preserve">Article Type: </w:t>
            </w:r>
            <w:r>
              <w:rPr>
                <w:rFonts w:ascii="Book Antiqua" w:hAnsi="Book Antiqua" w:cs="Times New Roman"/>
                <w:b/>
                <w:color w:val="FFFFFF" w:themeColor="background1"/>
                <w:sz w:val="22"/>
              </w:rPr>
              <w:t xml:space="preserve"> </w:t>
            </w:r>
            <w:r w:rsidRPr="003538E2">
              <w:rPr>
                <w:rFonts w:ascii="Book Antiqua" w:hAnsi="Book Antiqua" w:cs="Times New Roman"/>
                <w:color w:val="FFFFFF" w:themeColor="background1"/>
                <w:sz w:val="22"/>
              </w:rPr>
              <w:t xml:space="preserve">Review </w:t>
            </w:r>
            <w:r w:rsidRPr="003538E2">
              <w:rPr>
                <w:rFonts w:ascii="Book Antiqua" w:hAnsi="Book Antiqua" w:cs="Times New Roman"/>
                <w:b/>
                <w:color w:val="FFFFFF" w:themeColor="background1"/>
                <w:sz w:val="22"/>
              </w:rPr>
              <w:t xml:space="preserve">    </w:t>
            </w:r>
            <w:r>
              <w:rPr>
                <w:rFonts w:ascii="Book Antiqua" w:hAnsi="Book Antiqua" w:cs="Times New Roman"/>
                <w:b/>
                <w:color w:val="FFFFFF" w:themeColor="background1"/>
                <w:sz w:val="22"/>
              </w:rPr>
              <w:t xml:space="preserve">                     </w:t>
            </w:r>
            <w:r w:rsidRPr="003538E2">
              <w:rPr>
                <w:rFonts w:ascii="Book Antiqua" w:hAnsi="Book Antiqua" w:cs="Times New Roman"/>
                <w:b/>
                <w:color w:val="FFFFFF" w:themeColor="background1"/>
                <w:sz w:val="22"/>
              </w:rPr>
              <w:t>DOI:</w:t>
            </w:r>
          </w:p>
        </w:tc>
      </w:tr>
    </w:tbl>
    <w:p w14:paraId="2F267A3B" w14:textId="77777777" w:rsidR="00170BD9" w:rsidRDefault="00956BF8" w:rsidP="00620EB2">
      <w:pPr>
        <w:pStyle w:val="ArticleTitle"/>
        <w:spacing w:after="0" w:line="240" w:lineRule="auto"/>
        <w:jc w:val="center"/>
      </w:pPr>
      <w:r w:rsidRPr="00956BF8">
        <w:t>Mortality After Tuberculosis Treatment Completion: A Systematic Review of Incidence, Timing, and Predictors</w:t>
      </w:r>
    </w:p>
    <w:p w14:paraId="722BF51C" w14:textId="34A3DE77" w:rsidR="00170BD9" w:rsidRPr="000B62AD" w:rsidRDefault="00956BF8">
      <w:pPr>
        <w:pStyle w:val="AuthorLine"/>
        <w:jc w:val="center"/>
        <w:rPr>
          <w:rFonts w:ascii="Gill Sans MT" w:hAnsi="Gill Sans MT"/>
        </w:rPr>
      </w:pPr>
      <w:proofErr w:type="spellStart"/>
      <w:r w:rsidRPr="000B62AD">
        <w:rPr>
          <w:rFonts w:ascii="Gill Sans MT" w:hAnsi="Gill Sans MT"/>
        </w:rPr>
        <w:t>Nalubega</w:t>
      </w:r>
      <w:proofErr w:type="spellEnd"/>
      <w:r w:rsidRPr="000B62AD">
        <w:rPr>
          <w:rFonts w:ascii="Gill Sans MT" w:hAnsi="Gill Sans MT"/>
        </w:rPr>
        <w:t xml:space="preserve"> Madinah</w:t>
      </w:r>
      <w:r w:rsidR="00134130" w:rsidRPr="000B62AD">
        <w:rPr>
          <w:rFonts w:ascii="Gill Sans MT" w:hAnsi="Gill Sans MT"/>
        </w:rPr>
        <w:t>*</w:t>
      </w:r>
      <w:r w:rsidRPr="000B62AD">
        <w:rPr>
          <w:rFonts w:ascii="Gill Sans MT" w:hAnsi="Gill Sans MT"/>
          <w:vertAlign w:val="superscript"/>
        </w:rPr>
        <w:t>1,2</w:t>
      </w:r>
      <w:r w:rsidRPr="000B62AD">
        <w:rPr>
          <w:rFonts w:ascii="Gill Sans MT" w:hAnsi="Gill Sans MT"/>
        </w:rPr>
        <w:t xml:space="preserve">, </w:t>
      </w:r>
      <w:proofErr w:type="spellStart"/>
      <w:r w:rsidR="00BF4AD4" w:rsidRPr="000B62AD">
        <w:rPr>
          <w:rFonts w:ascii="Gill Sans MT" w:hAnsi="Gill Sans MT"/>
        </w:rPr>
        <w:t>Buregyeya</w:t>
      </w:r>
      <w:proofErr w:type="spellEnd"/>
      <w:r w:rsidR="00BF4AD4" w:rsidRPr="000B62AD">
        <w:rPr>
          <w:rFonts w:ascii="Gill Sans MT" w:hAnsi="Gill Sans MT"/>
        </w:rPr>
        <w:t xml:space="preserve"> </w:t>
      </w:r>
      <w:r w:rsidR="00027AD3" w:rsidRPr="000B62AD">
        <w:rPr>
          <w:rFonts w:ascii="Gill Sans MT" w:hAnsi="Gill Sans MT"/>
        </w:rPr>
        <w:t>Esther</w:t>
      </w:r>
      <w:r w:rsidR="00027AD3" w:rsidRPr="000B62AD">
        <w:rPr>
          <w:rFonts w:ascii="Gill Sans MT" w:hAnsi="Gill Sans MT"/>
          <w:vertAlign w:val="superscript"/>
        </w:rPr>
        <w:t>1</w:t>
      </w:r>
      <w:r w:rsidRPr="000B62AD">
        <w:rPr>
          <w:rFonts w:ascii="Gill Sans MT" w:hAnsi="Gill Sans MT"/>
        </w:rPr>
        <w:t xml:space="preserve">, </w:t>
      </w:r>
      <w:proofErr w:type="spellStart"/>
      <w:r w:rsidR="00027AD3" w:rsidRPr="000B62AD">
        <w:rPr>
          <w:rFonts w:ascii="Gill Sans MT" w:hAnsi="Gill Sans MT"/>
        </w:rPr>
        <w:t>Awor</w:t>
      </w:r>
      <w:proofErr w:type="spellEnd"/>
      <w:r w:rsidR="00027AD3" w:rsidRPr="000B62AD">
        <w:rPr>
          <w:rFonts w:ascii="Gill Sans MT" w:hAnsi="Gill Sans MT"/>
        </w:rPr>
        <w:t xml:space="preserve"> Phyllis</w:t>
      </w:r>
      <w:r w:rsidR="00027AD3" w:rsidRPr="000B62AD">
        <w:rPr>
          <w:rFonts w:ascii="Gill Sans MT" w:hAnsi="Gill Sans MT"/>
          <w:vertAlign w:val="superscript"/>
        </w:rPr>
        <w:t>1</w:t>
      </w:r>
    </w:p>
    <w:p w14:paraId="1B671E8C" w14:textId="77777777" w:rsidR="00170BD9" w:rsidRPr="00620EB2" w:rsidRDefault="00000000" w:rsidP="00620EB2">
      <w:pPr>
        <w:pStyle w:val="Affiliation"/>
        <w:spacing w:after="0" w:line="240" w:lineRule="auto"/>
        <w:rPr>
          <w:rFonts w:ascii="Gill Sans MT" w:hAnsi="Gill Sans MT"/>
          <w:sz w:val="18"/>
          <w:szCs w:val="18"/>
        </w:rPr>
      </w:pPr>
      <w:r w:rsidRPr="00620EB2">
        <w:rPr>
          <w:rFonts w:ascii="Gill Sans MT" w:hAnsi="Gill Sans MT"/>
          <w:sz w:val="18"/>
          <w:szCs w:val="18"/>
        </w:rPr>
        <w:t xml:space="preserve">1 </w:t>
      </w:r>
      <w:r w:rsidR="00EE1A93" w:rsidRPr="00620EB2">
        <w:rPr>
          <w:rFonts w:ascii="Gill Sans MT" w:hAnsi="Gill Sans MT"/>
          <w:sz w:val="18"/>
          <w:szCs w:val="18"/>
        </w:rPr>
        <w:t>School of Public Health, College of Health Sciences, Makerere University</w:t>
      </w:r>
    </w:p>
    <w:p w14:paraId="5E0B9F93" w14:textId="77777777" w:rsidR="00170BD9" w:rsidRPr="00620EB2" w:rsidRDefault="00000000" w:rsidP="00620EB2">
      <w:pPr>
        <w:pStyle w:val="Affiliation"/>
        <w:spacing w:after="0" w:line="240" w:lineRule="auto"/>
        <w:rPr>
          <w:rFonts w:ascii="Gill Sans MT" w:hAnsi="Gill Sans MT"/>
          <w:sz w:val="18"/>
          <w:szCs w:val="18"/>
        </w:rPr>
      </w:pPr>
      <w:r w:rsidRPr="00620EB2">
        <w:rPr>
          <w:rFonts w:ascii="Gill Sans MT" w:hAnsi="Gill Sans MT"/>
          <w:sz w:val="18"/>
          <w:szCs w:val="18"/>
        </w:rPr>
        <w:t xml:space="preserve">2 </w:t>
      </w:r>
      <w:r w:rsidR="00EE1A93" w:rsidRPr="00620EB2">
        <w:rPr>
          <w:rFonts w:ascii="Gill Sans MT" w:hAnsi="Gill Sans MT"/>
          <w:sz w:val="18"/>
          <w:szCs w:val="18"/>
        </w:rPr>
        <w:t>Uganda Heart Institute, Mulago hospital, Kampala, Uganda.</w:t>
      </w:r>
    </w:p>
    <w:tbl>
      <w:tblPr>
        <w:tblW w:w="0" w:type="auto"/>
        <w:jc w:val="center"/>
        <w:tblLayout w:type="fixed"/>
        <w:tblLook w:val="04A0" w:firstRow="1" w:lastRow="0" w:firstColumn="1" w:lastColumn="0" w:noHBand="0" w:noVBand="1"/>
      </w:tblPr>
      <w:tblGrid>
        <w:gridCol w:w="3005"/>
        <w:gridCol w:w="3005"/>
        <w:gridCol w:w="3005"/>
      </w:tblGrid>
      <w:tr w:rsidR="00170BD9" w:rsidRPr="000B62AD" w14:paraId="71A90EA0" w14:textId="77777777">
        <w:trPr>
          <w:jc w:val="center"/>
        </w:trPr>
        <w:tc>
          <w:tcPr>
            <w:tcW w:w="3005" w:type="dxa"/>
            <w:shd w:val="clear" w:color="auto" w:fill="F5F9FD"/>
            <w:vAlign w:val="center"/>
          </w:tcPr>
          <w:p w14:paraId="30DB8DFF" w14:textId="63723D06" w:rsidR="00170BD9" w:rsidRPr="000B62AD" w:rsidRDefault="00000000">
            <w:pPr>
              <w:jc w:val="center"/>
              <w:rPr>
                <w:rFonts w:ascii="Gill Sans MT" w:hAnsi="Gill Sans MT"/>
              </w:rPr>
            </w:pPr>
            <w:r w:rsidRPr="000B62AD">
              <w:rPr>
                <w:rFonts w:ascii="Gill Sans MT" w:hAnsi="Gill Sans MT"/>
                <w:b/>
                <w:color w:val="1E4E79"/>
                <w:sz w:val="18"/>
              </w:rPr>
              <w:t>Received</w:t>
            </w:r>
            <w:r w:rsidRPr="000B62AD">
              <w:rPr>
                <w:rFonts w:ascii="Gill Sans MT" w:hAnsi="Gill Sans MT"/>
                <w:b/>
                <w:color w:val="1E4E79"/>
                <w:sz w:val="18"/>
              </w:rPr>
              <w:br/>
            </w:r>
            <w:r w:rsidRPr="000B62AD">
              <w:rPr>
                <w:rFonts w:ascii="Gill Sans MT" w:hAnsi="Gill Sans MT"/>
                <w:color w:val="464646"/>
                <w:sz w:val="19"/>
              </w:rPr>
              <w:t>[</w:t>
            </w:r>
            <w:r w:rsidR="00B37852">
              <w:rPr>
                <w:rFonts w:ascii="Gill Sans MT" w:hAnsi="Gill Sans MT"/>
                <w:color w:val="464646"/>
                <w:sz w:val="19"/>
              </w:rPr>
              <w:t>26</w:t>
            </w:r>
            <w:r w:rsidRPr="000B62AD">
              <w:rPr>
                <w:rFonts w:ascii="Gill Sans MT" w:hAnsi="Gill Sans MT"/>
                <w:color w:val="464646"/>
                <w:sz w:val="19"/>
              </w:rPr>
              <w:t xml:space="preserve"> </w:t>
            </w:r>
            <w:r w:rsidR="00B37852">
              <w:rPr>
                <w:rFonts w:ascii="Gill Sans MT" w:hAnsi="Gill Sans MT"/>
                <w:color w:val="464646"/>
                <w:sz w:val="19"/>
              </w:rPr>
              <w:t>March</w:t>
            </w:r>
            <w:r w:rsidRPr="000B62AD">
              <w:rPr>
                <w:rFonts w:ascii="Gill Sans MT" w:hAnsi="Gill Sans MT"/>
                <w:color w:val="464646"/>
                <w:sz w:val="19"/>
              </w:rPr>
              <w:t xml:space="preserve"> </w:t>
            </w:r>
            <w:r w:rsidR="00EE1A93" w:rsidRPr="000B62AD">
              <w:rPr>
                <w:rFonts w:ascii="Gill Sans MT" w:hAnsi="Gill Sans MT"/>
                <w:color w:val="464646"/>
                <w:sz w:val="19"/>
              </w:rPr>
              <w:t>2026</w:t>
            </w:r>
            <w:r w:rsidRPr="000B62AD">
              <w:rPr>
                <w:rFonts w:ascii="Gill Sans MT" w:hAnsi="Gill Sans MT"/>
                <w:color w:val="464646"/>
                <w:sz w:val="19"/>
              </w:rPr>
              <w:t>]</w:t>
            </w:r>
          </w:p>
        </w:tc>
        <w:tc>
          <w:tcPr>
            <w:tcW w:w="3005" w:type="dxa"/>
            <w:shd w:val="clear" w:color="auto" w:fill="F5F9FD"/>
            <w:vAlign w:val="center"/>
          </w:tcPr>
          <w:p w14:paraId="71E34FC4" w14:textId="77777777" w:rsidR="00170BD9" w:rsidRPr="000B62AD" w:rsidRDefault="00170BD9">
            <w:pPr>
              <w:jc w:val="center"/>
              <w:rPr>
                <w:rFonts w:ascii="Gill Sans MT" w:hAnsi="Gill Sans MT"/>
              </w:rPr>
            </w:pPr>
          </w:p>
        </w:tc>
        <w:tc>
          <w:tcPr>
            <w:tcW w:w="3005" w:type="dxa"/>
            <w:shd w:val="clear" w:color="auto" w:fill="F5F9FD"/>
            <w:vAlign w:val="center"/>
          </w:tcPr>
          <w:p w14:paraId="38781421" w14:textId="2F541C84" w:rsidR="00170BD9" w:rsidRPr="000B62AD" w:rsidRDefault="00EE1A93">
            <w:pPr>
              <w:jc w:val="center"/>
              <w:rPr>
                <w:rFonts w:ascii="Gill Sans MT" w:hAnsi="Gill Sans MT"/>
              </w:rPr>
            </w:pPr>
            <w:r w:rsidRPr="000B62AD">
              <w:rPr>
                <w:rFonts w:ascii="Gill Sans MT" w:hAnsi="Gill Sans MT"/>
                <w:b/>
                <w:color w:val="1E4E79"/>
                <w:sz w:val="18"/>
              </w:rPr>
              <w:t>Accepted</w:t>
            </w:r>
            <w:r w:rsidRPr="000B62AD">
              <w:rPr>
                <w:rFonts w:ascii="Gill Sans MT" w:hAnsi="Gill Sans MT"/>
                <w:b/>
                <w:color w:val="1E4E79"/>
                <w:sz w:val="18"/>
              </w:rPr>
              <w:br/>
            </w:r>
            <w:r w:rsidRPr="000B62AD">
              <w:rPr>
                <w:rFonts w:ascii="Gill Sans MT" w:hAnsi="Gill Sans MT"/>
                <w:color w:val="464646"/>
                <w:sz w:val="19"/>
              </w:rPr>
              <w:t>[</w:t>
            </w:r>
            <w:r w:rsidR="00B37852">
              <w:rPr>
                <w:rFonts w:ascii="Gill Sans MT" w:hAnsi="Gill Sans MT"/>
                <w:color w:val="464646"/>
                <w:sz w:val="19"/>
              </w:rPr>
              <w:t>23</w:t>
            </w:r>
            <w:r w:rsidRPr="000B62AD">
              <w:rPr>
                <w:rFonts w:ascii="Gill Sans MT" w:hAnsi="Gill Sans MT"/>
                <w:color w:val="464646"/>
                <w:sz w:val="19"/>
              </w:rPr>
              <w:t xml:space="preserve"> </w:t>
            </w:r>
            <w:r w:rsidR="007E6C36">
              <w:rPr>
                <w:rFonts w:ascii="Gill Sans MT" w:hAnsi="Gill Sans MT"/>
                <w:color w:val="464646"/>
                <w:sz w:val="19"/>
              </w:rPr>
              <w:t xml:space="preserve">May </w:t>
            </w:r>
            <w:r w:rsidRPr="000B62AD">
              <w:rPr>
                <w:rFonts w:ascii="Gill Sans MT" w:hAnsi="Gill Sans MT"/>
                <w:color w:val="464646"/>
                <w:sz w:val="19"/>
              </w:rPr>
              <w:t>2026]</w:t>
            </w:r>
          </w:p>
        </w:tc>
      </w:tr>
    </w:tbl>
    <w:p w14:paraId="7DA30BC1" w14:textId="28EB6406" w:rsidR="00170BD9" w:rsidRDefault="00170BD9"/>
    <w:tbl>
      <w:tblPr>
        <w:tblW w:w="0" w:type="auto"/>
        <w:jc w:val="center"/>
        <w:tblLayout w:type="fixed"/>
        <w:tblLook w:val="04A0" w:firstRow="1" w:lastRow="0" w:firstColumn="1" w:lastColumn="0" w:noHBand="0" w:noVBand="1"/>
      </w:tblPr>
      <w:tblGrid>
        <w:gridCol w:w="9638"/>
      </w:tblGrid>
      <w:tr w:rsidR="00170BD9" w:rsidRPr="000B62AD" w14:paraId="69D4E750" w14:textId="77777777">
        <w:trPr>
          <w:jc w:val="center"/>
        </w:trPr>
        <w:tc>
          <w:tcPr>
            <w:tcW w:w="9638" w:type="dxa"/>
            <w:shd w:val="clear" w:color="auto" w:fill="1E4E79"/>
          </w:tcPr>
          <w:p w14:paraId="7306E039" w14:textId="77777777" w:rsidR="00170BD9" w:rsidRPr="007E6C36" w:rsidRDefault="00000000">
            <w:pPr>
              <w:pStyle w:val="AbstractHeading"/>
              <w:rPr>
                <w:rFonts w:ascii="Gill Sans MT" w:hAnsi="Gill Sans MT" w:cs="Times New Roman"/>
                <w:sz w:val="24"/>
                <w:szCs w:val="24"/>
              </w:rPr>
            </w:pPr>
            <w:r w:rsidRPr="007E6C36">
              <w:rPr>
                <w:rFonts w:ascii="Gill Sans MT" w:hAnsi="Gill Sans MT" w:cs="Times New Roman"/>
                <w:sz w:val="24"/>
                <w:szCs w:val="24"/>
              </w:rPr>
              <w:t>Abstract</w:t>
            </w:r>
          </w:p>
        </w:tc>
      </w:tr>
      <w:tr w:rsidR="00170BD9" w:rsidRPr="000B62AD" w14:paraId="6C0A847D" w14:textId="77777777">
        <w:trPr>
          <w:jc w:val="center"/>
        </w:trPr>
        <w:tc>
          <w:tcPr>
            <w:tcW w:w="9638" w:type="dxa"/>
            <w:shd w:val="clear" w:color="auto" w:fill="F7FAFD"/>
          </w:tcPr>
          <w:p w14:paraId="27BAC49A" w14:textId="77777777" w:rsidR="00D3393C" w:rsidRPr="00134130" w:rsidRDefault="00D3393C" w:rsidP="001E007B">
            <w:pPr>
              <w:jc w:val="both"/>
              <w:rPr>
                <w:rFonts w:ascii="Gill Sans MT" w:hAnsi="Gill Sans MT" w:cs="Times New Roman"/>
                <w:sz w:val="22"/>
              </w:rPr>
            </w:pPr>
            <w:r w:rsidRPr="00134130">
              <w:rPr>
                <w:rFonts w:ascii="Gill Sans MT" w:eastAsia="Times New Roman" w:hAnsi="Gill Sans MT" w:cs="Times New Roman"/>
                <w:b/>
                <w:sz w:val="22"/>
              </w:rPr>
              <w:t>Background:</w:t>
            </w:r>
            <w:r w:rsidRPr="00134130">
              <w:rPr>
                <w:rFonts w:ascii="Gill Sans MT" w:eastAsia="Times New Roman" w:hAnsi="Gill Sans MT" w:cs="Times New Roman"/>
                <w:sz w:val="22"/>
              </w:rPr>
              <w:t xml:space="preserve"> Tuberculosis (TB) survivors experience elevated mortality risk even after successful treatment completion. Understanding the magnitude, timing, and predictors of post-treatment mortality is essential for designing effective survivorship care and reducing long-term TB-related deaths.</w:t>
            </w:r>
          </w:p>
          <w:p w14:paraId="431507EF" w14:textId="77777777" w:rsidR="00D3393C" w:rsidRPr="00134130" w:rsidRDefault="00D3393C" w:rsidP="001E007B">
            <w:pPr>
              <w:jc w:val="both"/>
              <w:rPr>
                <w:rFonts w:ascii="Gill Sans MT" w:hAnsi="Gill Sans MT" w:cs="Times New Roman"/>
                <w:sz w:val="22"/>
              </w:rPr>
            </w:pPr>
            <w:r w:rsidRPr="00134130">
              <w:rPr>
                <w:rFonts w:ascii="Gill Sans MT" w:eastAsia="Times New Roman" w:hAnsi="Gill Sans MT" w:cs="Times New Roman"/>
                <w:b/>
                <w:sz w:val="22"/>
              </w:rPr>
              <w:t>Objectives:</w:t>
            </w:r>
            <w:r w:rsidRPr="00134130">
              <w:rPr>
                <w:rFonts w:ascii="Gill Sans MT" w:eastAsia="Times New Roman" w:hAnsi="Gill Sans MT" w:cs="Times New Roman"/>
                <w:sz w:val="22"/>
              </w:rPr>
              <w:t xml:space="preserve"> To systematically review the incidence, timing, and predictors of mortality after TB treatment completion.</w:t>
            </w:r>
          </w:p>
          <w:p w14:paraId="18DE3A50" w14:textId="77777777" w:rsidR="00D3393C" w:rsidRPr="00134130" w:rsidRDefault="00D3393C" w:rsidP="001E007B">
            <w:pPr>
              <w:jc w:val="both"/>
              <w:rPr>
                <w:rFonts w:ascii="Gill Sans MT" w:hAnsi="Gill Sans MT" w:cs="Times New Roman"/>
                <w:sz w:val="22"/>
              </w:rPr>
            </w:pPr>
            <w:r w:rsidRPr="00134130">
              <w:rPr>
                <w:rFonts w:ascii="Gill Sans MT" w:eastAsia="Times New Roman" w:hAnsi="Gill Sans MT" w:cs="Times New Roman"/>
                <w:b/>
                <w:sz w:val="22"/>
              </w:rPr>
              <w:t>Methods:</w:t>
            </w:r>
            <w:r w:rsidRPr="00134130">
              <w:rPr>
                <w:rFonts w:ascii="Gill Sans MT" w:eastAsia="Times New Roman" w:hAnsi="Gill Sans MT" w:cs="Times New Roman"/>
                <w:sz w:val="22"/>
              </w:rPr>
              <w:t xml:space="preserve"> We conducted a systematic review following PRISMA guidelines. We searched </w:t>
            </w:r>
            <w:proofErr w:type="spellStart"/>
            <w:r w:rsidRPr="00134130">
              <w:rPr>
                <w:rFonts w:ascii="Gill Sans MT" w:eastAsia="Times New Roman" w:hAnsi="Gill Sans MT" w:cs="Times New Roman"/>
                <w:sz w:val="22"/>
              </w:rPr>
              <w:t>SciSpace</w:t>
            </w:r>
            <w:proofErr w:type="spellEnd"/>
            <w:r w:rsidRPr="00134130">
              <w:rPr>
                <w:rFonts w:ascii="Gill Sans MT" w:eastAsia="Times New Roman" w:hAnsi="Gill Sans MT" w:cs="Times New Roman"/>
                <w:sz w:val="22"/>
              </w:rPr>
              <w:t>, PubMed, and Google Scholar through March 2026 for peer-reviewed English-language studies reporting mortality, survival, or predictors of death after TB treatment completion. We included cohort, case-control, and analytical observational studies. Two reviewers independently screened titles, abstracts, and full texts. Data on study characteristics, mortality incidence, timing of deaths, and predictors were extracted and synthesized narratively.</w:t>
            </w:r>
          </w:p>
          <w:p w14:paraId="206FC46A" w14:textId="77777777" w:rsidR="00D3393C" w:rsidRPr="00134130" w:rsidRDefault="00D3393C" w:rsidP="001E007B">
            <w:pPr>
              <w:jc w:val="both"/>
              <w:rPr>
                <w:rFonts w:ascii="Gill Sans MT" w:hAnsi="Gill Sans MT" w:cs="Times New Roman"/>
                <w:sz w:val="22"/>
              </w:rPr>
            </w:pPr>
            <w:r w:rsidRPr="00134130">
              <w:rPr>
                <w:rFonts w:ascii="Gill Sans MT" w:eastAsia="Times New Roman" w:hAnsi="Gill Sans MT" w:cs="Times New Roman"/>
                <w:b/>
                <w:bCs/>
                <w:sz w:val="22"/>
              </w:rPr>
              <w:t>Results:</w:t>
            </w:r>
            <w:r w:rsidRPr="00134130">
              <w:rPr>
                <w:rFonts w:ascii="Gill Sans MT" w:eastAsia="Times New Roman" w:hAnsi="Gill Sans MT" w:cs="Times New Roman"/>
                <w:sz w:val="22"/>
              </w:rPr>
              <w:t xml:space="preserve"> Thirty studies met inclusion criteria, representing diverse settings including Uganda, Georgia, Israel, China, India, Haiti, Vietnam, Brazil, and systematic reviews. Pooled standardized mortality ratio (SMR) was 2.91 (95% CI 2.21–3.84), indicating nearly three-fold higher mortality compared to general populations. Mortality incidence ranged from 6.9% to 34.7% across cohorts, with rates of 15.4–28.5 per 1,000 person-years. Most deaths occurred within the first 1–3 years post-treatment, though elevated risk persisted for years. Consistent predictors included HIV co-infection (adjusted hazard ratio [</w:t>
            </w:r>
            <w:proofErr w:type="spellStart"/>
            <w:r w:rsidRPr="00134130">
              <w:rPr>
                <w:rFonts w:ascii="Gill Sans MT" w:eastAsia="Times New Roman" w:hAnsi="Gill Sans MT" w:cs="Times New Roman"/>
                <w:sz w:val="22"/>
              </w:rPr>
              <w:t>aHR</w:t>
            </w:r>
            <w:proofErr w:type="spellEnd"/>
            <w:r w:rsidRPr="00134130">
              <w:rPr>
                <w:rFonts w:ascii="Gill Sans MT" w:eastAsia="Times New Roman" w:hAnsi="Gill Sans MT" w:cs="Times New Roman"/>
                <w:sz w:val="22"/>
              </w:rPr>
              <w:t>] 1.81–3.74), low CD4 count (&lt;200 cells/µL), prior TB or retreatment (</w:t>
            </w:r>
            <w:proofErr w:type="spellStart"/>
            <w:r w:rsidRPr="00134130">
              <w:rPr>
                <w:rFonts w:ascii="Gill Sans MT" w:eastAsia="Times New Roman" w:hAnsi="Gill Sans MT" w:cs="Times New Roman"/>
                <w:sz w:val="22"/>
              </w:rPr>
              <w:t>aHR</w:t>
            </w:r>
            <w:proofErr w:type="spellEnd"/>
            <w:r w:rsidRPr="00134130">
              <w:rPr>
                <w:rFonts w:ascii="Gill Sans MT" w:eastAsia="Times New Roman" w:hAnsi="Gill Sans MT" w:cs="Times New Roman"/>
                <w:sz w:val="22"/>
              </w:rPr>
              <w:t xml:space="preserve"> 2.12), older age, comorbidities (diabetes, chronic kidney disease, malignancy), drug-resistant TB, malnutrition, and socioeconomic vulnerability (unemployment </w:t>
            </w:r>
            <w:proofErr w:type="spellStart"/>
            <w:r w:rsidRPr="00134130">
              <w:rPr>
                <w:rFonts w:ascii="Gill Sans MT" w:eastAsia="Times New Roman" w:hAnsi="Gill Sans MT" w:cs="Times New Roman"/>
                <w:sz w:val="22"/>
              </w:rPr>
              <w:t>aHR</w:t>
            </w:r>
            <w:proofErr w:type="spellEnd"/>
            <w:r w:rsidRPr="00134130">
              <w:rPr>
                <w:rFonts w:ascii="Gill Sans MT" w:eastAsia="Times New Roman" w:hAnsi="Gill Sans MT" w:cs="Times New Roman"/>
                <w:sz w:val="22"/>
              </w:rPr>
              <w:t xml:space="preserve"> 7.04). High heterogeneity (I²=99%) reflected diverse study designs, populations, and follow-up durations. Major gaps included limited cause-specific mortality data, scarce intervention studies, and underrepresentation of general TB populations in high-burden settings.</w:t>
            </w:r>
          </w:p>
          <w:p w14:paraId="7ACED691" w14:textId="77777777" w:rsidR="00170BD9" w:rsidRPr="00134130" w:rsidRDefault="00D3393C" w:rsidP="001E007B">
            <w:pPr>
              <w:jc w:val="both"/>
              <w:rPr>
                <w:rFonts w:ascii="Gill Sans MT" w:hAnsi="Gill Sans MT"/>
                <w:sz w:val="22"/>
              </w:rPr>
            </w:pPr>
            <w:r w:rsidRPr="00134130">
              <w:rPr>
                <w:rFonts w:ascii="Gill Sans MT" w:eastAsia="Times New Roman" w:hAnsi="Gill Sans MT" w:cs="Times New Roman"/>
                <w:b/>
                <w:sz w:val="22"/>
              </w:rPr>
              <w:t>Conclusions:</w:t>
            </w:r>
            <w:r w:rsidRPr="00134130">
              <w:rPr>
                <w:rFonts w:ascii="Gill Sans MT" w:eastAsia="Times New Roman" w:hAnsi="Gill Sans MT" w:cs="Times New Roman"/>
                <w:sz w:val="22"/>
              </w:rPr>
              <w:t xml:space="preserve"> TB survivors face substantially elevated long-term mortality, concentrated in the early post-treatment period and driven by HIV, comorbidities, socioeconomic factors, and treatment history. Findings support the need for structured post-TB follow-up, integrated chronic disease management, and social protection interventions, particularly in the first three years after treatment completion.</w:t>
            </w:r>
          </w:p>
        </w:tc>
      </w:tr>
    </w:tbl>
    <w:p w14:paraId="6A89AD83" w14:textId="7870037D" w:rsidR="00170BD9" w:rsidRPr="000B62AD" w:rsidRDefault="00620EB2">
      <w:pPr>
        <w:pStyle w:val="MetaLine"/>
        <w:pBdr>
          <w:top w:val="single" w:sz="6" w:space="6" w:color="C7D4D8"/>
        </w:pBdr>
        <w:rPr>
          <w:rFonts w:ascii="Gill Sans MT" w:hAnsi="Gill Sans MT" w:cs="Times New Roman"/>
        </w:rPr>
      </w:pPr>
      <w:r>
        <w:rPr>
          <w:noProof/>
        </w:rPr>
        <mc:AlternateContent>
          <mc:Choice Requires="wps">
            <w:drawing>
              <wp:anchor distT="0" distB="0" distL="114300" distR="114300" simplePos="0" relativeHeight="251656192" behindDoc="0" locked="0" layoutInCell="1" allowOverlap="1" wp14:anchorId="06E8ABC9" wp14:editId="67A75198">
                <wp:simplePos x="0" y="0"/>
                <wp:positionH relativeFrom="column">
                  <wp:posOffset>3728085</wp:posOffset>
                </wp:positionH>
                <wp:positionV relativeFrom="paragraph">
                  <wp:posOffset>294005</wp:posOffset>
                </wp:positionV>
                <wp:extent cx="2924175" cy="1076325"/>
                <wp:effectExtent l="0" t="0" r="28575" b="28575"/>
                <wp:wrapNone/>
                <wp:docPr id="6" name="Rectangle 6"/>
                <wp:cNvGraphicFramePr/>
                <a:graphic xmlns:a="http://schemas.openxmlformats.org/drawingml/2006/main">
                  <a:graphicData uri="http://schemas.microsoft.com/office/word/2010/wordprocessingShape">
                    <wps:wsp>
                      <wps:cNvSpPr/>
                      <wps:spPr>
                        <a:xfrm>
                          <a:off x="0" y="0"/>
                          <a:ext cx="2924175" cy="1076325"/>
                        </a:xfrm>
                        <a:prstGeom prst="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2E269CF" w14:textId="34DF24D3" w:rsidR="00620EB2" w:rsidRDefault="00620EB2" w:rsidP="00620EB2">
                            <w:pPr>
                              <w:spacing w:after="0" w:line="240" w:lineRule="auto"/>
                              <w:jc w:val="both"/>
                              <w:rPr>
                                <w:rFonts w:ascii="Times New Roman" w:hAnsi="Times New Roman" w:cs="Times New Roman"/>
                                <w:sz w:val="18"/>
                                <w:szCs w:val="18"/>
                              </w:rPr>
                            </w:pPr>
                            <w:r w:rsidRPr="00497049">
                              <w:rPr>
                                <w:rFonts w:ascii="Times New Roman" w:hAnsi="Times New Roman" w:cs="Times New Roman"/>
                                <w:sz w:val="18"/>
                                <w:szCs w:val="18"/>
                              </w:rPr>
                              <w:t xml:space="preserve">All the articles published by </w:t>
                            </w:r>
                            <w:hyperlink r:id="rId8" w:tgtFrame="_blank" w:history="1">
                              <w:r>
                                <w:rPr>
                                  <w:rStyle w:val="Hyperlink"/>
                                  <w:rFonts w:ascii="Times New Roman" w:hAnsi="Times New Roman" w:cs="Times New Roman"/>
                                  <w:sz w:val="18"/>
                                  <w:szCs w:val="18"/>
                                </w:rPr>
                                <w:t>Global Public Health &amp; Heakth Systems Journal</w:t>
                              </w:r>
                            </w:hyperlink>
                            <w:r w:rsidRPr="00497049">
                              <w:rPr>
                                <w:rFonts w:ascii="Times New Roman" w:hAnsi="Times New Roman" w:cs="Times New Roman"/>
                                <w:sz w:val="18"/>
                                <w:szCs w:val="18"/>
                              </w:rPr>
                              <w:t xml:space="preserve"> are licensed unde</w:t>
                            </w:r>
                            <w:r>
                              <w:rPr>
                                <w:rFonts w:ascii="Times New Roman" w:hAnsi="Times New Roman" w:cs="Times New Roman"/>
                                <w:sz w:val="18"/>
                                <w:szCs w:val="18"/>
                              </w:rPr>
                              <w:t>r a</w:t>
                            </w:r>
                            <w:r w:rsidRPr="00497049">
                              <w:rPr>
                                <w:rFonts w:ascii="Times New Roman" w:hAnsi="Times New Roman" w:cs="Times New Roman"/>
                                <w:sz w:val="18"/>
                                <w:szCs w:val="18"/>
                              </w:rPr>
                              <w:t xml:space="preserve"> </w:t>
                            </w:r>
                            <w:hyperlink r:id="rId9" w:tgtFrame="_blank" w:history="1">
                              <w:r w:rsidRPr="00990F5C">
                                <w:rPr>
                                  <w:rStyle w:val="Hyperlink"/>
                                  <w:rFonts w:ascii="Times New Roman" w:hAnsi="Times New Roman" w:cs="Times New Roman"/>
                                  <w:sz w:val="18"/>
                                  <w:szCs w:val="18"/>
                                </w:rPr>
                                <w:t>Creative Commons Attribution 4.0 International (CC-BY) License</w:t>
                              </w:r>
                            </w:hyperlink>
                            <w:r w:rsidRPr="00497049">
                              <w:rPr>
                                <w:rFonts w:ascii="Times New Roman" w:hAnsi="Times New Roman" w:cs="Times New Roman"/>
                                <w:sz w:val="18"/>
                                <w:szCs w:val="18"/>
                              </w:rPr>
                              <w:t xml:space="preserve"> Based on a work at </w:t>
                            </w:r>
                            <w:hyperlink r:id="rId10" w:history="1">
                              <w:r w:rsidRPr="00B31D42">
                                <w:rPr>
                                  <w:rStyle w:val="Hyperlink"/>
                                  <w:rFonts w:ascii="Times New Roman" w:hAnsi="Times New Roman" w:cs="Times New Roman"/>
                                  <w:sz w:val="18"/>
                                  <w:szCs w:val="18"/>
                                </w:rPr>
                                <w:t>https://ecoscribepublishers.com</w:t>
                              </w:r>
                            </w:hyperlink>
                            <w:r>
                              <w:rPr>
                                <w:rFonts w:ascii="Times New Roman" w:hAnsi="Times New Roman" w:cs="Times New Roman"/>
                                <w:sz w:val="18"/>
                                <w:szCs w:val="18"/>
                              </w:rPr>
                              <w:t xml:space="preserve"> </w:t>
                            </w:r>
                          </w:p>
                          <w:p w14:paraId="3301F3C8" w14:textId="77777777" w:rsidR="00620EB2" w:rsidRDefault="00620EB2" w:rsidP="00620EB2">
                            <w:pPr>
                              <w:jc w:val="center"/>
                              <w:rPr>
                                <w:rFonts w:ascii="Times New Roman" w:hAnsi="Times New Roman" w:cs="Times New Roman"/>
                                <w:sz w:val="18"/>
                                <w:szCs w:val="18"/>
                              </w:rPr>
                            </w:pPr>
                            <w:r>
                              <w:rPr>
                                <w:rFonts w:ascii="Times New Roman" w:hAnsi="Times New Roman" w:cs="Times New Roman"/>
                                <w:sz w:val="18"/>
                                <w:szCs w:val="18"/>
                              </w:rPr>
                              <w:t xml:space="preserve">       </w:t>
                            </w:r>
                            <w:r>
                              <w:rPr>
                                <w:noProof/>
                              </w:rPr>
                              <w:t xml:space="preserve">    </w:t>
                            </w:r>
                            <w:r>
                              <w:rPr>
                                <w:noProof/>
                              </w:rPr>
                              <w:drawing>
                                <wp:inline distT="0" distB="0" distL="0" distR="0" wp14:anchorId="68ED23CB" wp14:editId="3A047B90">
                                  <wp:extent cx="1598295" cy="495300"/>
                                  <wp:effectExtent l="0" t="0" r="190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605059" cy="497396"/>
                                          </a:xfrm>
                                          <a:prstGeom prst="rect">
                                            <a:avLst/>
                                          </a:prstGeom>
                                        </pic:spPr>
                                      </pic:pic>
                                    </a:graphicData>
                                  </a:graphic>
                                </wp:inline>
                              </w:drawing>
                            </w:r>
                          </w:p>
                          <w:p w14:paraId="6CF2015E" w14:textId="77777777" w:rsidR="00620EB2" w:rsidRPr="00497049" w:rsidRDefault="00620EB2" w:rsidP="00620EB2">
                            <w:pPr>
                              <w:jc w:val="both"/>
                              <w:rPr>
                                <w:rFonts w:ascii="Times New Roman" w:hAnsi="Times New Roman" w:cs="Times New Roman"/>
                                <w:sz w:val="18"/>
                                <w:szCs w:val="18"/>
                              </w:rPr>
                            </w:pPr>
                            <w:r>
                              <w:rPr>
                                <w:rFonts w:ascii="Times New Roman" w:hAnsi="Times New Roman" w:cs="Times New Roman"/>
                                <w:sz w:val="18"/>
                                <w:szCs w:val="1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6E8ABC9" id="Rectangle 6" o:spid="_x0000_s1026" style="position:absolute;margin-left:293.55pt;margin-top:23.15pt;width:230.25pt;height:84.7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" fillcolor="white [3201]" strokecolor="black [3213]" strokeweight="1.5pt">
                <v:textbox>
                  <w:txbxContent>
                    <w:p w14:paraId="32E269CF" w14:textId="34DF24D3" w:rsidR="00620EB2" w:rsidRDefault="00620EB2" w:rsidP="00620EB2">
                      <w:pPr>
                        <w:spacing w:after="0" w:line="240" w:lineRule="auto"/>
                        <w:jc w:val="both"/>
                        <w:rPr>
                          <w:rFonts w:ascii="Times New Roman" w:hAnsi="Times New Roman" w:cs="Times New Roman"/>
                          <w:sz w:val="18"/>
                          <w:szCs w:val="18"/>
                        </w:rPr>
                      </w:pPr>
                      <w:r w:rsidRPr="00497049">
                        <w:rPr>
                          <w:rFonts w:ascii="Times New Roman" w:hAnsi="Times New Roman" w:cs="Times New Roman"/>
                          <w:sz w:val="18"/>
                          <w:szCs w:val="18"/>
                        </w:rPr>
                        <w:t xml:space="preserve">All the articles published by </w:t>
                      </w:r>
                      <w:hyperlink r:id="rId12" w:tgtFrame="_blank" w:history="1">
                        <w:r>
                          <w:rPr>
                            <w:rStyle w:val="Hyperlink"/>
                            <w:rFonts w:ascii="Times New Roman" w:hAnsi="Times New Roman" w:cs="Times New Roman"/>
                            <w:sz w:val="18"/>
                            <w:szCs w:val="18"/>
                          </w:rPr>
                          <w:t>Global Public Health &amp; Heakth Systems Journal</w:t>
                        </w:r>
                      </w:hyperlink>
                      <w:r w:rsidRPr="00497049">
                        <w:rPr>
                          <w:rFonts w:ascii="Times New Roman" w:hAnsi="Times New Roman" w:cs="Times New Roman"/>
                          <w:sz w:val="18"/>
                          <w:szCs w:val="18"/>
                        </w:rPr>
                        <w:t xml:space="preserve"> are licensed unde</w:t>
                      </w:r>
                      <w:r>
                        <w:rPr>
                          <w:rFonts w:ascii="Times New Roman" w:hAnsi="Times New Roman" w:cs="Times New Roman"/>
                          <w:sz w:val="18"/>
                          <w:szCs w:val="18"/>
                        </w:rPr>
                        <w:t>r a</w:t>
                      </w:r>
                      <w:r w:rsidRPr="00497049">
                        <w:rPr>
                          <w:rFonts w:ascii="Times New Roman" w:hAnsi="Times New Roman" w:cs="Times New Roman"/>
                          <w:sz w:val="18"/>
                          <w:szCs w:val="18"/>
                        </w:rPr>
                        <w:t xml:space="preserve"> </w:t>
                      </w:r>
                      <w:hyperlink r:id="rId13" w:tgtFrame="_blank" w:history="1">
                        <w:r w:rsidRPr="00990F5C">
                          <w:rPr>
                            <w:rStyle w:val="Hyperlink"/>
                            <w:rFonts w:ascii="Times New Roman" w:hAnsi="Times New Roman" w:cs="Times New Roman"/>
                            <w:sz w:val="18"/>
                            <w:szCs w:val="18"/>
                          </w:rPr>
                          <w:t>Creative Commons Attribution 4.0 International (CC-BY) License</w:t>
                        </w:r>
                      </w:hyperlink>
                      <w:r w:rsidRPr="00497049">
                        <w:rPr>
                          <w:rFonts w:ascii="Times New Roman" w:hAnsi="Times New Roman" w:cs="Times New Roman"/>
                          <w:sz w:val="18"/>
                          <w:szCs w:val="18"/>
                        </w:rPr>
                        <w:t xml:space="preserve"> Based on a work at </w:t>
                      </w:r>
                      <w:hyperlink r:id="rId14" w:history="1">
                        <w:r w:rsidRPr="00B31D42">
                          <w:rPr>
                            <w:rStyle w:val="Hyperlink"/>
                            <w:rFonts w:ascii="Times New Roman" w:hAnsi="Times New Roman" w:cs="Times New Roman"/>
                            <w:sz w:val="18"/>
                            <w:szCs w:val="18"/>
                          </w:rPr>
                          <w:t>https://ecoscribepublishers.com</w:t>
                        </w:r>
                      </w:hyperlink>
                      <w:r>
                        <w:rPr>
                          <w:rFonts w:ascii="Times New Roman" w:hAnsi="Times New Roman" w:cs="Times New Roman"/>
                          <w:sz w:val="18"/>
                          <w:szCs w:val="18"/>
                        </w:rPr>
                        <w:t xml:space="preserve"> </w:t>
                      </w:r>
                    </w:p>
                    <w:p w14:paraId="3301F3C8" w14:textId="77777777" w:rsidR="00620EB2" w:rsidRDefault="00620EB2" w:rsidP="00620EB2">
                      <w:pPr>
                        <w:jc w:val="center"/>
                        <w:rPr>
                          <w:rFonts w:ascii="Times New Roman" w:hAnsi="Times New Roman" w:cs="Times New Roman"/>
                          <w:sz w:val="18"/>
                          <w:szCs w:val="18"/>
                        </w:rPr>
                      </w:pPr>
                      <w:r>
                        <w:rPr>
                          <w:rFonts w:ascii="Times New Roman" w:hAnsi="Times New Roman" w:cs="Times New Roman"/>
                          <w:sz w:val="18"/>
                          <w:szCs w:val="18"/>
                        </w:rPr>
                        <w:t xml:space="preserve">       </w:t>
                      </w:r>
                      <w:r>
                        <w:rPr>
                          <w:noProof/>
                        </w:rPr>
                        <w:t xml:space="preserve">    </w:t>
                      </w:r>
                      <w:r>
                        <w:rPr>
                          <w:noProof/>
                        </w:rPr>
                        <w:drawing>
                          <wp:inline distT="0" distB="0" distL="0" distR="0" wp14:anchorId="68ED23CB" wp14:editId="3A047B90">
                            <wp:extent cx="1598295" cy="495300"/>
                            <wp:effectExtent l="0" t="0" r="190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605059" cy="497396"/>
                                    </a:xfrm>
                                    <a:prstGeom prst="rect">
                                      <a:avLst/>
                                    </a:prstGeom>
                                  </pic:spPr>
                                </pic:pic>
                              </a:graphicData>
                            </a:graphic>
                          </wp:inline>
                        </w:drawing>
                      </w:r>
                    </w:p>
                    <w:p w14:paraId="6CF2015E" w14:textId="77777777" w:rsidR="00620EB2" w:rsidRPr="00497049" w:rsidRDefault="00620EB2" w:rsidP="00620EB2">
                      <w:pPr>
                        <w:jc w:val="both"/>
                        <w:rPr>
                          <w:rFonts w:ascii="Times New Roman" w:hAnsi="Times New Roman" w:cs="Times New Roman"/>
                          <w:sz w:val="18"/>
                          <w:szCs w:val="18"/>
                        </w:rPr>
                      </w:pPr>
                      <w:r>
                        <w:rPr>
                          <w:rFonts w:ascii="Times New Roman" w:hAnsi="Times New Roman" w:cs="Times New Roman"/>
                          <w:sz w:val="18"/>
                          <w:szCs w:val="18"/>
                        </w:rPr>
                        <w:t xml:space="preserve">       </w:t>
                      </w:r>
                    </w:p>
                  </w:txbxContent>
                </v:textbox>
              </v:rect>
            </w:pict>
          </mc:Fallback>
        </mc:AlternateContent>
      </w:r>
      <w:r w:rsidRPr="000B62AD">
        <w:rPr>
          <w:rFonts w:ascii="Gill Sans MT" w:hAnsi="Gill Sans MT" w:cs="Times New Roman"/>
          <w:b/>
        </w:rPr>
        <w:t xml:space="preserve">Keywords: </w:t>
      </w:r>
      <w:r w:rsidR="00D3393C" w:rsidRPr="000B62AD">
        <w:rPr>
          <w:rFonts w:ascii="Gill Sans MT" w:hAnsi="Gill Sans MT" w:cs="Times New Roman"/>
        </w:rPr>
        <w:t>Tuberculosis; post-treatment mortality; TB survivors; HIV; predictors; systematic review</w:t>
      </w:r>
    </w:p>
    <w:tbl>
      <w:tblPr>
        <w:tblStyle w:val="TableGrid"/>
        <w:tblW w:w="1060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67"/>
        <w:gridCol w:w="735"/>
        <w:gridCol w:w="4700"/>
      </w:tblGrid>
      <w:tr w:rsidR="00620EB2" w14:paraId="0589B5E5" w14:textId="77777777" w:rsidTr="00620EB2">
        <w:trPr>
          <w:trHeight w:val="80"/>
        </w:trPr>
        <w:tc>
          <w:tcPr>
            <w:tcW w:w="5167" w:type="dxa"/>
          </w:tcPr>
          <w:p w14:paraId="44809370" w14:textId="77777777" w:rsidR="00620EB2" w:rsidRDefault="00620EB2" w:rsidP="00620EB2">
            <w:pPr>
              <w:tabs>
                <w:tab w:val="left" w:pos="7635"/>
              </w:tabs>
              <w:spacing w:after="0"/>
              <w:ind w:left="-105"/>
              <w:rPr>
                <w:rFonts w:ascii="Times New Roman" w:hAnsi="Times New Roman" w:cs="Times New Roman"/>
                <w:sz w:val="18"/>
                <w:szCs w:val="18"/>
              </w:rPr>
            </w:pPr>
            <w:r w:rsidRPr="00032E4C">
              <w:rPr>
                <w:rFonts w:ascii="Times New Roman" w:hAnsi="Times New Roman" w:cs="Times New Roman"/>
                <w:sz w:val="18"/>
                <w:szCs w:val="18"/>
              </w:rPr>
              <w:t xml:space="preserve">*Corresponding author </w:t>
            </w:r>
          </w:p>
          <w:p w14:paraId="13A5106C" w14:textId="1A75977D" w:rsidR="00620EB2" w:rsidRPr="007058A4" w:rsidRDefault="00620EB2" w:rsidP="00620EB2">
            <w:pPr>
              <w:tabs>
                <w:tab w:val="left" w:pos="7635"/>
              </w:tabs>
              <w:spacing w:after="0"/>
              <w:ind w:left="-105"/>
              <w:rPr>
                <w:rFonts w:ascii="Times New Roman" w:hAnsi="Times New Roman" w:cs="Times New Roman"/>
                <w:sz w:val="18"/>
                <w:szCs w:val="18"/>
              </w:rPr>
            </w:pPr>
            <w:r w:rsidRPr="00032E4C">
              <w:rPr>
                <w:rFonts w:ascii="Times New Roman" w:hAnsi="Times New Roman" w:cs="Times New Roman"/>
                <w:sz w:val="18"/>
                <w:szCs w:val="18"/>
              </w:rPr>
              <w:t>E-mail:</w:t>
            </w:r>
            <w:r>
              <w:t xml:space="preserve"> </w:t>
            </w:r>
            <w:hyperlink r:id="rId15" w:history="1">
              <w:r w:rsidRPr="00B31D42">
                <w:rPr>
                  <w:rStyle w:val="Hyperlink"/>
                  <w:rFonts w:ascii="Times New Roman" w:hAnsi="Times New Roman" w:cs="Times New Roman"/>
                  <w:sz w:val="18"/>
                  <w:szCs w:val="18"/>
                </w:rPr>
                <w:t>Madieshamran81@gmail.com</w:t>
              </w:r>
            </w:hyperlink>
            <w:r>
              <w:rPr>
                <w:rFonts w:ascii="Times New Roman" w:hAnsi="Times New Roman" w:cs="Times New Roman"/>
                <w:sz w:val="18"/>
                <w:szCs w:val="18"/>
              </w:rPr>
              <w:t xml:space="preserve"> </w:t>
            </w:r>
            <w:r w:rsidRPr="00032E4C">
              <w:rPr>
                <w:rFonts w:ascii="Times New Roman" w:hAnsi="Times New Roman" w:cs="Times New Roman"/>
                <w:sz w:val="18"/>
                <w:szCs w:val="18"/>
              </w:rPr>
              <w:t xml:space="preserve"> (</w:t>
            </w:r>
            <w:r>
              <w:rPr>
                <w:rFonts w:ascii="Times New Roman" w:hAnsi="Times New Roman" w:cs="Times New Roman"/>
                <w:sz w:val="18"/>
                <w:szCs w:val="18"/>
              </w:rPr>
              <w:t>Nalubega Madinah</w:t>
            </w:r>
            <w:r w:rsidRPr="00032E4C">
              <w:rPr>
                <w:rFonts w:ascii="Times New Roman" w:hAnsi="Times New Roman" w:cs="Times New Roman"/>
                <w:sz w:val="18"/>
                <w:szCs w:val="18"/>
              </w:rPr>
              <w:t>)</w:t>
            </w:r>
          </w:p>
        </w:tc>
        <w:tc>
          <w:tcPr>
            <w:tcW w:w="735" w:type="dxa"/>
          </w:tcPr>
          <w:p w14:paraId="3E73C5D1" w14:textId="77777777" w:rsidR="00620EB2" w:rsidRDefault="00620EB2" w:rsidP="00B015AF">
            <w:pPr>
              <w:ind w:hanging="18"/>
            </w:pPr>
          </w:p>
        </w:tc>
        <w:tc>
          <w:tcPr>
            <w:tcW w:w="4700" w:type="dxa"/>
          </w:tcPr>
          <w:p w14:paraId="7A78C0CF" w14:textId="3782ABCE" w:rsidR="00620EB2" w:rsidRDefault="00620EB2" w:rsidP="00B015AF">
            <w:pPr>
              <w:ind w:hanging="18"/>
            </w:pPr>
          </w:p>
        </w:tc>
      </w:tr>
    </w:tbl>
    <w:p w14:paraId="0F13CCDD" w14:textId="2240C226" w:rsidR="00620EB2" w:rsidRDefault="00620EB2" w:rsidP="00620EB2">
      <w:pPr>
        <w:spacing w:after="0" w:line="240" w:lineRule="auto"/>
        <w:rPr>
          <w:rFonts w:ascii="Times New Roman" w:hAnsi="Times New Roman" w:cs="Times New Roman"/>
          <w:sz w:val="18"/>
          <w:szCs w:val="18"/>
        </w:rPr>
      </w:pPr>
      <w:r w:rsidRPr="007058A4">
        <w:rPr>
          <w:rFonts w:ascii="Times New Roman" w:hAnsi="Times New Roman" w:cs="Times New Roman"/>
          <w:sz w:val="18"/>
          <w:szCs w:val="18"/>
        </w:rPr>
        <w:t xml:space="preserve">Peer review under responsibility of </w:t>
      </w:r>
      <w:r>
        <w:rPr>
          <w:rFonts w:ascii="Times New Roman" w:hAnsi="Times New Roman" w:cs="Times New Roman"/>
          <w:sz w:val="18"/>
          <w:szCs w:val="18"/>
        </w:rPr>
        <w:t>Global Public Health</w:t>
      </w:r>
      <w:r w:rsidR="004456A0">
        <w:rPr>
          <w:rFonts w:ascii="Times New Roman" w:hAnsi="Times New Roman" w:cs="Times New Roman"/>
          <w:sz w:val="18"/>
          <w:szCs w:val="18"/>
        </w:rPr>
        <w:t>, and Health</w:t>
      </w:r>
    </w:p>
    <w:p w14:paraId="05A6F662" w14:textId="7F9DF08C" w:rsidR="00620EB2" w:rsidRPr="00AE78B9" w:rsidRDefault="00620EB2" w:rsidP="00620EB2">
      <w:pPr>
        <w:spacing w:line="240" w:lineRule="auto"/>
        <w:ind w:left="-90"/>
        <w:rPr>
          <w:rFonts w:ascii="Times New Roman" w:hAnsi="Times New Roman" w:cs="Times New Roman"/>
          <w:sz w:val="18"/>
          <w:szCs w:val="18"/>
        </w:rPr>
      </w:pPr>
      <w:r>
        <w:rPr>
          <w:rFonts w:ascii="Times New Roman" w:hAnsi="Times New Roman" w:cs="Times New Roman"/>
          <w:bCs/>
          <w:noProof/>
          <w:sz w:val="24"/>
          <w:szCs w:val="24"/>
        </w:rPr>
        <mc:AlternateContent>
          <mc:Choice Requires="wps">
            <w:drawing>
              <wp:anchor distT="0" distB="0" distL="114300" distR="114300" simplePos="0" relativeHeight="251659264" behindDoc="0" locked="0" layoutInCell="1" allowOverlap="1" wp14:anchorId="43669F55" wp14:editId="52FB54EC">
                <wp:simplePos x="0" y="0"/>
                <wp:positionH relativeFrom="column">
                  <wp:posOffset>1905</wp:posOffset>
                </wp:positionH>
                <wp:positionV relativeFrom="paragraph">
                  <wp:posOffset>210185</wp:posOffset>
                </wp:positionV>
                <wp:extent cx="3028950" cy="0"/>
                <wp:effectExtent l="0" t="0" r="0" b="0"/>
                <wp:wrapNone/>
                <wp:docPr id="8" name="Straight Connector 8"/>
                <wp:cNvGraphicFramePr/>
                <a:graphic xmlns:a="http://schemas.openxmlformats.org/drawingml/2006/main">
                  <a:graphicData uri="http://schemas.microsoft.com/office/word/2010/wordprocessingShape">
                    <wps:wsp>
                      <wps:cNvCnPr/>
                      <wps:spPr>
                        <a:xfrm>
                          <a:off x="0" y="0"/>
                          <a:ext cx="3028950" cy="0"/>
                        </a:xfrm>
                        <a:prstGeom prst="line">
                          <a:avLst/>
                        </a:prstGeom>
                        <a:ln w="19050">
                          <a:solidFill>
                            <a:schemeClr val="bg2">
                              <a:lumMod val="50000"/>
                            </a:schemeClr>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1D2E2D7" id="Straight Connector 8"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pt,16.55pt" to="238.65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" strokecolor="#938953 [1614]" strokeweight="1.5pt"/>
            </w:pict>
          </mc:Fallback>
        </mc:AlternateContent>
      </w:r>
      <w:r w:rsidRPr="007058A4">
        <w:rPr>
          <w:rFonts w:ascii="Times New Roman" w:hAnsi="Times New Roman" w:cs="Times New Roman"/>
          <w:sz w:val="18"/>
          <w:szCs w:val="18"/>
        </w:rPr>
        <w:t xml:space="preserve"> </w:t>
      </w:r>
      <w:r>
        <w:rPr>
          <w:rFonts w:ascii="Times New Roman" w:hAnsi="Times New Roman" w:cs="Times New Roman"/>
          <w:sz w:val="18"/>
          <w:szCs w:val="18"/>
        </w:rPr>
        <w:t xml:space="preserve"> </w:t>
      </w:r>
      <w:r w:rsidR="004456A0">
        <w:rPr>
          <w:rFonts w:ascii="Times New Roman" w:hAnsi="Times New Roman" w:cs="Times New Roman"/>
          <w:sz w:val="18"/>
          <w:szCs w:val="18"/>
        </w:rPr>
        <w:t>Systems Journal</w:t>
      </w:r>
      <w:r>
        <w:rPr>
          <w:rFonts w:ascii="Times New Roman" w:hAnsi="Times New Roman" w:cs="Times New Roman"/>
          <w:sz w:val="18"/>
          <w:szCs w:val="18"/>
        </w:rPr>
        <w:t>.</w:t>
      </w:r>
    </w:p>
    <w:p w14:paraId="7146B4A3" w14:textId="77777777" w:rsidR="00620EB2" w:rsidRDefault="00620EB2" w:rsidP="00620EB2">
      <w:pPr>
        <w:spacing w:line="240" w:lineRule="auto"/>
        <w:rPr>
          <w:rFonts w:ascii="Times New Roman" w:hAnsi="Times New Roman" w:cs="Times New Roman"/>
          <w:sz w:val="18"/>
          <w:szCs w:val="18"/>
        </w:rPr>
      </w:pPr>
      <w:r w:rsidRPr="007058A4">
        <w:rPr>
          <w:rFonts w:ascii="Times New Roman" w:hAnsi="Times New Roman" w:cs="Times New Roman"/>
          <w:noProof/>
          <w:sz w:val="18"/>
          <w:szCs w:val="18"/>
        </w:rPr>
        <mc:AlternateContent>
          <mc:Choice Requires="wps">
            <w:drawing>
              <wp:anchor distT="45720" distB="45720" distL="114300" distR="114300" simplePos="0" relativeHeight="251660288" behindDoc="0" locked="0" layoutInCell="1" allowOverlap="1" wp14:anchorId="0EF5C1CC" wp14:editId="05185D58">
                <wp:simplePos x="0" y="0"/>
                <wp:positionH relativeFrom="column">
                  <wp:posOffset>1905</wp:posOffset>
                </wp:positionH>
                <wp:positionV relativeFrom="paragraph">
                  <wp:posOffset>66040</wp:posOffset>
                </wp:positionV>
                <wp:extent cx="3028950" cy="1404620"/>
                <wp:effectExtent l="0" t="0" r="19050" b="2476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0" cy="1404620"/>
                        </a:xfrm>
                        <a:prstGeom prst="rect">
                          <a:avLst/>
                        </a:prstGeom>
                        <a:solidFill>
                          <a:srgbClr val="FFFFFF"/>
                        </a:solidFill>
                        <a:ln w="9525">
                          <a:solidFill>
                            <a:schemeClr val="bg2">
                              <a:lumMod val="75000"/>
                            </a:schemeClr>
                          </a:solidFill>
                          <a:miter lim="800000"/>
                          <a:headEnd/>
                          <a:tailEnd/>
                        </a:ln>
                      </wps:spPr>
                      <wps:txbx>
                        <w:txbxContent>
                          <w:p w14:paraId="769D350E" w14:textId="77777777" w:rsidR="00620EB2" w:rsidRPr="007058A4" w:rsidRDefault="00620EB2" w:rsidP="00620EB2">
                            <w:pPr>
                              <w:rPr>
                                <w:rFonts w:ascii="Times New Roman" w:hAnsi="Times New Roman" w:cs="Times New Roman"/>
                                <w:sz w:val="18"/>
                                <w:szCs w:val="18"/>
                              </w:rPr>
                            </w:pPr>
                            <w:r w:rsidRPr="007058A4">
                              <w:rPr>
                                <w:rFonts w:ascii="Times New Roman" w:hAnsi="Times New Roman" w:cs="Times New Roman"/>
                                <w:sz w:val="18"/>
                                <w:szCs w:val="18"/>
                              </w:rPr>
                              <w:t xml:space="preserve">A Publication of </w:t>
                            </w:r>
                            <w:proofErr w:type="spellStart"/>
                            <w:r w:rsidRPr="007058A4">
                              <w:rPr>
                                <w:rFonts w:ascii="Times New Roman" w:hAnsi="Times New Roman" w:cs="Times New Roman"/>
                                <w:sz w:val="18"/>
                                <w:szCs w:val="18"/>
                              </w:rPr>
                              <w:t>EcoScribe</w:t>
                            </w:r>
                            <w:proofErr w:type="spellEnd"/>
                            <w:r w:rsidRPr="007058A4">
                              <w:rPr>
                                <w:rFonts w:ascii="Times New Roman" w:hAnsi="Times New Roman" w:cs="Times New Roman"/>
                                <w:sz w:val="18"/>
                                <w:szCs w:val="18"/>
                              </w:rPr>
                              <w:t xml:space="preserve"> Publish</w:t>
                            </w:r>
                            <w:r>
                              <w:rPr>
                                <w:rFonts w:ascii="Times New Roman" w:hAnsi="Times New Roman" w:cs="Times New Roman"/>
                                <w:sz w:val="18"/>
                                <w:szCs w:val="18"/>
                              </w:rPr>
                              <w:t>ers company</w:t>
                            </w:r>
                            <w:r w:rsidRPr="007058A4">
                              <w:rPr>
                                <w:rFonts w:ascii="Times New Roman" w:hAnsi="Times New Roman" w:cs="Times New Roman"/>
                                <w:sz w:val="18"/>
                                <w:szCs w:val="18"/>
                              </w:rPr>
                              <w:t xml:space="preserve"> Limited, Uganda.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EF5C1CC" id="_x0000_t202" coordsize="21600,21600" o:spt="202" path="m,l,21600r21600,l21600,xe">
                <v:stroke joinstyle="miter"/>
                <v:path gradientshapeok="t" o:connecttype="rect"/>
              </v:shapetype>
              <v:shape id="Text Box 2" o:spid="_x0000_s1027" type="#_x0000_t202" style="position:absolute;margin-left:.15pt;margin-top:5.2pt;width:238.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" strokecolor="#c4bc96 [2414]">
                <v:textbox style="mso-fit-shape-to-text:t">
                  <w:txbxContent>
                    <w:p w14:paraId="769D350E" w14:textId="77777777" w:rsidR="00620EB2" w:rsidRPr="007058A4" w:rsidRDefault="00620EB2" w:rsidP="00620EB2">
                      <w:pPr>
                        <w:rPr>
                          <w:rFonts w:ascii="Times New Roman" w:hAnsi="Times New Roman" w:cs="Times New Roman"/>
                          <w:sz w:val="18"/>
                          <w:szCs w:val="18"/>
                        </w:rPr>
                      </w:pPr>
                      <w:r w:rsidRPr="007058A4">
                        <w:rPr>
                          <w:rFonts w:ascii="Times New Roman" w:hAnsi="Times New Roman" w:cs="Times New Roman"/>
                          <w:sz w:val="18"/>
                          <w:szCs w:val="18"/>
                        </w:rPr>
                        <w:t xml:space="preserve">A Publication of </w:t>
                      </w:r>
                      <w:proofErr w:type="spellStart"/>
                      <w:r w:rsidRPr="007058A4">
                        <w:rPr>
                          <w:rFonts w:ascii="Times New Roman" w:hAnsi="Times New Roman" w:cs="Times New Roman"/>
                          <w:sz w:val="18"/>
                          <w:szCs w:val="18"/>
                        </w:rPr>
                        <w:t>EcoScribe</w:t>
                      </w:r>
                      <w:proofErr w:type="spellEnd"/>
                      <w:r w:rsidRPr="007058A4">
                        <w:rPr>
                          <w:rFonts w:ascii="Times New Roman" w:hAnsi="Times New Roman" w:cs="Times New Roman"/>
                          <w:sz w:val="18"/>
                          <w:szCs w:val="18"/>
                        </w:rPr>
                        <w:t xml:space="preserve"> Publish</w:t>
                      </w:r>
                      <w:r>
                        <w:rPr>
                          <w:rFonts w:ascii="Times New Roman" w:hAnsi="Times New Roman" w:cs="Times New Roman"/>
                          <w:sz w:val="18"/>
                          <w:szCs w:val="18"/>
                        </w:rPr>
                        <w:t>ers company</w:t>
                      </w:r>
                      <w:r w:rsidRPr="007058A4">
                        <w:rPr>
                          <w:rFonts w:ascii="Times New Roman" w:hAnsi="Times New Roman" w:cs="Times New Roman"/>
                          <w:sz w:val="18"/>
                          <w:szCs w:val="18"/>
                        </w:rPr>
                        <w:t xml:space="preserve"> Limited, Uganda.</w:t>
                      </w:r>
                    </w:p>
                  </w:txbxContent>
                </v:textbox>
                <w10:wrap type="square"/>
              </v:shape>
            </w:pict>
          </mc:Fallback>
        </mc:AlternateContent>
      </w:r>
    </w:p>
    <w:p w14:paraId="5F08D47D" w14:textId="77777777" w:rsidR="004456A0" w:rsidRDefault="004456A0">
      <w:pPr>
        <w:pStyle w:val="SectionHeadingAIDSAE"/>
        <w:rPr>
          <w:rFonts w:ascii="Gill Sans MT" w:hAnsi="Gill Sans MT" w:cs="Times New Roman"/>
          <w:sz w:val="24"/>
          <w:szCs w:val="24"/>
        </w:rPr>
      </w:pPr>
    </w:p>
    <w:p w14:paraId="577A97C6" w14:textId="77777777" w:rsidR="00F4468B" w:rsidRDefault="00F4468B">
      <w:pPr>
        <w:pStyle w:val="SectionHeadingAIDSAE"/>
        <w:rPr>
          <w:rFonts w:ascii="Gill Sans MT" w:hAnsi="Gill Sans MT" w:cs="Times New Roman"/>
          <w:sz w:val="24"/>
          <w:szCs w:val="24"/>
        </w:rPr>
      </w:pPr>
    </w:p>
    <w:p w14:paraId="22DCB9D4" w14:textId="77777777" w:rsidR="00F4468B" w:rsidRDefault="00F4468B">
      <w:pPr>
        <w:pStyle w:val="SectionHeadingAIDSAE"/>
        <w:rPr>
          <w:rFonts w:ascii="Gill Sans MT" w:hAnsi="Gill Sans MT" w:cs="Times New Roman"/>
          <w:sz w:val="24"/>
          <w:szCs w:val="24"/>
        </w:rPr>
      </w:pPr>
    </w:p>
    <w:p w14:paraId="3ED26F67" w14:textId="69222C42" w:rsidR="00170BD9" w:rsidRPr="007E6C36" w:rsidRDefault="00000000">
      <w:pPr>
        <w:pStyle w:val="SectionHeadingAIDSAE"/>
        <w:rPr>
          <w:rFonts w:ascii="Gill Sans MT" w:hAnsi="Gill Sans MT" w:cs="Times New Roman"/>
          <w:sz w:val="24"/>
          <w:szCs w:val="24"/>
        </w:rPr>
      </w:pPr>
      <w:r w:rsidRPr="007E6C36">
        <w:rPr>
          <w:rFonts w:ascii="Gill Sans MT" w:hAnsi="Gill Sans MT" w:cs="Times New Roman"/>
          <w:sz w:val="24"/>
          <w:szCs w:val="24"/>
        </w:rPr>
        <w:t>1. Introduction</w:t>
      </w:r>
    </w:p>
    <w:p w14:paraId="2A08A314" w14:textId="77777777" w:rsidR="0041505A" w:rsidRPr="000B62AD" w:rsidRDefault="0041505A" w:rsidP="0041505A">
      <w:pPr>
        <w:jc w:val="both"/>
        <w:rPr>
          <w:rFonts w:ascii="Gill Sans MT" w:hAnsi="Gill Sans MT"/>
        </w:rPr>
      </w:pPr>
      <w:r w:rsidRPr="000B62AD">
        <w:rPr>
          <w:rFonts w:ascii="Gill Sans MT" w:eastAsia="Times New Roman" w:hAnsi="Gill Sans MT" w:cs="Times New Roman"/>
          <w:sz w:val="22"/>
        </w:rPr>
        <w:t>Tuberculosis (TB) remains a leading infectious cause of death globally, with an estimated 10.8 million incident cases and 1.3 million deaths in 2023 [1]. While substantial progress has been made in TB treatment success rates—exceeding 85% globally for drug-susceptible TB—emerging evidence indicates that TB survivors continue to face elevated mortality risk long after treatment completion [2], [3], [4]. This excess mortality represents a critical yet under-recognized dimension of the global TB burden, with implications for patient care, health system planning, and TB elimination strategies.</w:t>
      </w:r>
    </w:p>
    <w:p w14:paraId="2864F5E2" w14:textId="77777777" w:rsidR="0041505A" w:rsidRPr="000B62AD" w:rsidRDefault="0041505A" w:rsidP="0041505A">
      <w:pPr>
        <w:jc w:val="both"/>
        <w:rPr>
          <w:rFonts w:ascii="Gill Sans MT" w:hAnsi="Gill Sans MT"/>
        </w:rPr>
      </w:pPr>
      <w:r w:rsidRPr="000B62AD">
        <w:rPr>
          <w:rFonts w:ascii="Gill Sans MT" w:eastAsia="Times New Roman" w:hAnsi="Gill Sans MT" w:cs="Times New Roman"/>
          <w:sz w:val="22"/>
        </w:rPr>
        <w:t>The mechanisms underlying post-TB mortality are complex and multifactorial. Structural lung damage, including bronchiectasis, fibrosis, and chronic pulmonary aspergillosis, may persist after microbiological cure and contribute to respiratory morbidity and mortality [5], [6]. Systemic inflammation, immune dysregulation, and the socioeconomic consequences of TB disease—including catastrophic costs, job loss, and social stigma—may further compound mortality risk [7], [8]. For individuals with HIV co-infection, drug-resistant TB, or pre-existing comorbidities such as diabetes mellitus, the post-treatment period may be particularly hazardous [9], [7], [10].</w:t>
      </w:r>
    </w:p>
    <w:p w14:paraId="44399ABF" w14:textId="77777777" w:rsidR="0041505A" w:rsidRPr="000B62AD" w:rsidRDefault="0041505A" w:rsidP="0041505A">
      <w:pPr>
        <w:jc w:val="both"/>
        <w:rPr>
          <w:rFonts w:ascii="Gill Sans MT" w:hAnsi="Gill Sans MT"/>
        </w:rPr>
      </w:pPr>
      <w:r w:rsidRPr="000B62AD">
        <w:rPr>
          <w:rFonts w:ascii="Gill Sans MT" w:eastAsia="Times New Roman" w:hAnsi="Gill Sans MT" w:cs="Times New Roman"/>
          <w:sz w:val="22"/>
        </w:rPr>
        <w:t xml:space="preserve">Despite growing recognition of post-TB mortality as a public health concern, the evidence base remains fragmented. Studies vary widely in design, population characteristics, follow-up duration, and outcome definitions, limiting comparability and hindering the translation of findings into policy and practice [11]. Key questions remain inadequately addressed: What is the magnitude of excess mortality after TB treatment completion? When do deaths occur in the post-treatment period? Which demographic, clinical, and socioeconomic factors predict mortality risk? And what are the priority evidence </w:t>
      </w:r>
      <w:proofErr w:type="gramStart"/>
      <w:r w:rsidRPr="000B62AD">
        <w:rPr>
          <w:rFonts w:ascii="Gill Sans MT" w:eastAsia="Times New Roman" w:hAnsi="Gill Sans MT" w:cs="Times New Roman"/>
          <w:sz w:val="22"/>
        </w:rPr>
        <w:t>gaps</w:t>
      </w:r>
      <w:proofErr w:type="gramEnd"/>
      <w:r w:rsidRPr="000B62AD">
        <w:rPr>
          <w:rFonts w:ascii="Gill Sans MT" w:eastAsia="Times New Roman" w:hAnsi="Gill Sans MT" w:cs="Times New Roman"/>
          <w:sz w:val="22"/>
        </w:rPr>
        <w:t xml:space="preserve"> that future research must address?</w:t>
      </w:r>
    </w:p>
    <w:p w14:paraId="70F25B57" w14:textId="77777777" w:rsidR="00170BD9" w:rsidRPr="000B62AD" w:rsidRDefault="0041505A">
      <w:pPr>
        <w:jc w:val="both"/>
        <w:rPr>
          <w:rFonts w:ascii="Gill Sans MT" w:hAnsi="Gill Sans MT"/>
        </w:rPr>
      </w:pPr>
      <w:r w:rsidRPr="000B62AD">
        <w:rPr>
          <w:rFonts w:ascii="Gill Sans MT" w:eastAsia="Times New Roman" w:hAnsi="Gill Sans MT" w:cs="Times New Roman"/>
          <w:sz w:val="22"/>
        </w:rPr>
        <w:t>To address these questions, we conducted a systematic review synthesizing evidence on mortality incidence, timing, and predictors after TB treatment completion. Our objectives were to: (1) summarize reported incidence of mortality after TB treatment completion; (2) examine when deaths occur after treatment completion; (3) identify demographic, clinical, socioeconomic, and health-system predictors of post-treatment mortality; and (4) highlight evidence gaps and implications for policy, practice, and future research. This review provides a comprehensive synthesis to inform the design of post-TB survivorship care models and guide future research priorities.</w:t>
      </w:r>
    </w:p>
    <w:p w14:paraId="1CA6FD29" w14:textId="77777777" w:rsidR="00170BD9" w:rsidRPr="007E6C36" w:rsidRDefault="00000000">
      <w:pPr>
        <w:pStyle w:val="SectionHeadingAIDSAE"/>
        <w:rPr>
          <w:rFonts w:ascii="Gill Sans MT" w:hAnsi="Gill Sans MT" w:cs="Times New Roman"/>
          <w:sz w:val="24"/>
          <w:szCs w:val="24"/>
        </w:rPr>
      </w:pPr>
      <w:r w:rsidRPr="007E6C36">
        <w:rPr>
          <w:rFonts w:ascii="Gill Sans MT" w:hAnsi="Gill Sans MT" w:cs="Times New Roman"/>
          <w:sz w:val="24"/>
          <w:szCs w:val="24"/>
        </w:rPr>
        <w:t>2. Materials and Methods</w:t>
      </w:r>
    </w:p>
    <w:p w14:paraId="4D4ADEBE" w14:textId="77777777" w:rsidR="00170BD9" w:rsidRPr="000B62AD" w:rsidRDefault="00000000">
      <w:pPr>
        <w:pStyle w:val="SubheadingAIDSAE"/>
        <w:rPr>
          <w:rFonts w:ascii="Gill Sans MT" w:hAnsi="Gill Sans MT" w:cs="Times New Roman"/>
          <w:sz w:val="22"/>
        </w:rPr>
      </w:pPr>
      <w:r w:rsidRPr="000B62AD">
        <w:rPr>
          <w:rFonts w:ascii="Gill Sans MT" w:hAnsi="Gill Sans MT" w:cs="Times New Roman"/>
          <w:sz w:val="22"/>
        </w:rPr>
        <w:t xml:space="preserve">2.1 </w:t>
      </w:r>
      <w:r w:rsidR="001E007B" w:rsidRPr="000B62AD">
        <w:rPr>
          <w:rFonts w:ascii="Gill Sans MT" w:hAnsi="Gill Sans MT" w:cs="Times New Roman"/>
          <w:sz w:val="22"/>
        </w:rPr>
        <w:t>Protocol and Registration</w:t>
      </w:r>
    </w:p>
    <w:p w14:paraId="4C4FF87D" w14:textId="77777777" w:rsidR="00170BD9" w:rsidRPr="000B62AD" w:rsidRDefault="001E007B">
      <w:pPr>
        <w:jc w:val="both"/>
        <w:rPr>
          <w:rFonts w:ascii="Gill Sans MT" w:hAnsi="Gill Sans MT" w:cs="Times New Roman"/>
          <w:sz w:val="22"/>
        </w:rPr>
      </w:pPr>
      <w:r w:rsidRPr="000B62AD">
        <w:rPr>
          <w:rFonts w:ascii="Gill Sans MT" w:eastAsia="Times New Roman" w:hAnsi="Gill Sans MT" w:cs="Times New Roman"/>
          <w:sz w:val="22"/>
        </w:rPr>
        <w:t>This systematic review was conducted following the Preferred Reporting Items for Systematic Reviews and Meta-Analyses (PRISMA) guidelines [2]. A protocol was developed a priori specifying objectives, eligibility criteria, search strategy, screening procedures, data extraction, and synthesis methods</w:t>
      </w:r>
      <w:r w:rsidRPr="000B62AD">
        <w:rPr>
          <w:rFonts w:ascii="Gill Sans MT" w:hAnsi="Gill Sans MT" w:cs="Times New Roman"/>
          <w:sz w:val="22"/>
        </w:rPr>
        <w:t>.</w:t>
      </w:r>
    </w:p>
    <w:p w14:paraId="32FCA89B" w14:textId="77777777" w:rsidR="001E007B" w:rsidRPr="000B62AD" w:rsidRDefault="001E007B" w:rsidP="001E007B">
      <w:pPr>
        <w:pStyle w:val="Heading3"/>
        <w:spacing w:before="160" w:after="40"/>
        <w:rPr>
          <w:rFonts w:ascii="Gill Sans MT" w:hAnsi="Gill Sans MT" w:cs="Times New Roman"/>
          <w:color w:val="auto"/>
          <w:sz w:val="22"/>
        </w:rPr>
      </w:pPr>
      <w:r w:rsidRPr="000B62AD">
        <w:rPr>
          <w:rFonts w:ascii="Gill Sans MT" w:eastAsia="Times New Roman" w:hAnsi="Gill Sans MT" w:cs="Times New Roman"/>
          <w:color w:val="auto"/>
          <w:sz w:val="22"/>
        </w:rPr>
        <w:t>2.2 Eligibility Criteria</w:t>
      </w:r>
    </w:p>
    <w:p w14:paraId="21DD09F1" w14:textId="77777777" w:rsidR="001E007B" w:rsidRPr="000B62AD" w:rsidRDefault="001E007B" w:rsidP="001E007B">
      <w:pPr>
        <w:jc w:val="both"/>
        <w:rPr>
          <w:rFonts w:ascii="Gill Sans MT" w:hAnsi="Gill Sans MT" w:cs="Times New Roman"/>
          <w:sz w:val="22"/>
        </w:rPr>
      </w:pPr>
      <w:r w:rsidRPr="000B62AD">
        <w:rPr>
          <w:rFonts w:ascii="Gill Sans MT" w:eastAsia="Times New Roman" w:hAnsi="Gill Sans MT" w:cs="Times New Roman"/>
          <w:sz w:val="22"/>
        </w:rPr>
        <w:t>We included peer-reviewed, English-language original research studies reporting mortality, survival, or predictors of death after TB treatment completion or discharge. Eligible study designs included cohort studies (prospective or retrospective), case-control studies, and analytical observational studies. We included studies of adults and children treated for drug-susceptible or drug-resistant TB, with or without HIV co-infection, in any geographic setting.</w:t>
      </w:r>
    </w:p>
    <w:p w14:paraId="37D32EE7" w14:textId="77777777" w:rsidR="001E007B" w:rsidRPr="000B62AD" w:rsidRDefault="001E007B" w:rsidP="001E007B">
      <w:pPr>
        <w:jc w:val="both"/>
        <w:rPr>
          <w:rFonts w:ascii="Gill Sans MT" w:hAnsi="Gill Sans MT" w:cs="Times New Roman"/>
          <w:sz w:val="22"/>
        </w:rPr>
      </w:pPr>
      <w:r w:rsidRPr="000B62AD">
        <w:rPr>
          <w:rFonts w:ascii="Gill Sans MT" w:eastAsia="Times New Roman" w:hAnsi="Gill Sans MT" w:cs="Times New Roman"/>
          <w:sz w:val="22"/>
        </w:rPr>
        <w:lastRenderedPageBreak/>
        <w:t>We excluded editorials, commentaries, conference abstracts without full results, case reports, case series with fewer than 50 participants, and studies focused exclusively on mortality during active TB treatment (i.e., before treatment completion). Studies that did not clearly distinguish post-treatment mortality from on-treatment mortality were excluded.</w:t>
      </w:r>
    </w:p>
    <w:p w14:paraId="3BBB3147" w14:textId="77777777" w:rsidR="001E007B" w:rsidRPr="000B62AD" w:rsidRDefault="001E007B" w:rsidP="001E007B">
      <w:pPr>
        <w:pStyle w:val="Heading3"/>
        <w:spacing w:before="160" w:after="40"/>
        <w:rPr>
          <w:rFonts w:ascii="Gill Sans MT" w:hAnsi="Gill Sans MT" w:cs="Times New Roman"/>
          <w:color w:val="auto"/>
          <w:sz w:val="22"/>
        </w:rPr>
      </w:pPr>
      <w:r w:rsidRPr="000B62AD">
        <w:rPr>
          <w:rFonts w:ascii="Gill Sans MT" w:eastAsia="Times New Roman" w:hAnsi="Gill Sans MT" w:cs="Times New Roman"/>
          <w:color w:val="auto"/>
          <w:sz w:val="22"/>
        </w:rPr>
        <w:t>2.3 Information Sources and Search Strategy</w:t>
      </w:r>
    </w:p>
    <w:p w14:paraId="175E5713" w14:textId="77777777" w:rsidR="001E007B" w:rsidRPr="000B62AD" w:rsidRDefault="001E007B" w:rsidP="001E007B">
      <w:pPr>
        <w:jc w:val="both"/>
        <w:rPr>
          <w:rFonts w:ascii="Gill Sans MT" w:hAnsi="Gill Sans MT" w:cs="Times New Roman"/>
          <w:sz w:val="22"/>
        </w:rPr>
      </w:pPr>
      <w:r w:rsidRPr="000B62AD">
        <w:rPr>
          <w:rFonts w:ascii="Gill Sans MT" w:eastAsia="Times New Roman" w:hAnsi="Gill Sans MT" w:cs="Times New Roman"/>
          <w:sz w:val="22"/>
        </w:rPr>
        <w:t xml:space="preserve">We conducted comprehensive searches of three databases: </w:t>
      </w:r>
      <w:proofErr w:type="spellStart"/>
      <w:r w:rsidRPr="000B62AD">
        <w:rPr>
          <w:rFonts w:ascii="Gill Sans MT" w:eastAsia="Times New Roman" w:hAnsi="Gill Sans MT" w:cs="Times New Roman"/>
          <w:sz w:val="22"/>
        </w:rPr>
        <w:t>SciSpace</w:t>
      </w:r>
      <w:proofErr w:type="spellEnd"/>
      <w:r w:rsidRPr="000B62AD">
        <w:rPr>
          <w:rFonts w:ascii="Gill Sans MT" w:eastAsia="Times New Roman" w:hAnsi="Gill Sans MT" w:cs="Times New Roman"/>
          <w:sz w:val="22"/>
        </w:rPr>
        <w:t xml:space="preserve"> (basic and full-text search), PubMed, and Google Scholar. Searches were conducted through March 2026. We used three complementary search strategies to maximize sensitivity:</w:t>
      </w:r>
    </w:p>
    <w:p w14:paraId="193F250F" w14:textId="77777777" w:rsidR="001E007B" w:rsidRPr="000B62AD" w:rsidRDefault="001E007B" w:rsidP="001E007B">
      <w:pPr>
        <w:jc w:val="both"/>
        <w:rPr>
          <w:rFonts w:ascii="Gill Sans MT" w:hAnsi="Gill Sans MT" w:cs="Times New Roman"/>
          <w:sz w:val="22"/>
        </w:rPr>
      </w:pPr>
      <w:r w:rsidRPr="000B62AD">
        <w:rPr>
          <w:rFonts w:ascii="Gill Sans MT" w:eastAsia="Times New Roman" w:hAnsi="Gill Sans MT" w:cs="Times New Roman"/>
          <w:b/>
          <w:sz w:val="22"/>
        </w:rPr>
        <w:t>Query 1:</w:t>
      </w:r>
      <w:r w:rsidRPr="000B62AD">
        <w:rPr>
          <w:rFonts w:ascii="Gill Sans MT" w:eastAsia="Times New Roman" w:hAnsi="Gill Sans MT" w:cs="Times New Roman"/>
          <w:sz w:val="22"/>
        </w:rPr>
        <w:t xml:space="preserve"> "post-tuberculosis mortality" OR "mortality after TB treatment" OR "survival after TB cure" OR "long-term outcomes tuberculosis survivors"</w:t>
      </w:r>
    </w:p>
    <w:p w14:paraId="267D69EC" w14:textId="77777777" w:rsidR="001E007B" w:rsidRPr="000B62AD" w:rsidRDefault="001E007B" w:rsidP="001E007B">
      <w:pPr>
        <w:jc w:val="both"/>
        <w:rPr>
          <w:rFonts w:ascii="Gill Sans MT" w:hAnsi="Gill Sans MT" w:cs="Times New Roman"/>
          <w:sz w:val="22"/>
        </w:rPr>
      </w:pPr>
      <w:r w:rsidRPr="000B62AD">
        <w:rPr>
          <w:rFonts w:ascii="Gill Sans MT" w:eastAsia="Times New Roman" w:hAnsi="Gill Sans MT" w:cs="Times New Roman"/>
          <w:b/>
          <w:sz w:val="22"/>
        </w:rPr>
        <w:t>Query 2:</w:t>
      </w:r>
      <w:r w:rsidRPr="000B62AD">
        <w:rPr>
          <w:rFonts w:ascii="Gill Sans MT" w:eastAsia="Times New Roman" w:hAnsi="Gill Sans MT" w:cs="Times New Roman"/>
          <w:sz w:val="22"/>
        </w:rPr>
        <w:t xml:space="preserve"> "tuberculosis treatment completion" AND "mortality" OR "death" OR "survival"</w:t>
      </w:r>
    </w:p>
    <w:p w14:paraId="3455426D" w14:textId="77777777" w:rsidR="001E007B" w:rsidRPr="000B62AD" w:rsidRDefault="001E007B" w:rsidP="001E007B">
      <w:pPr>
        <w:jc w:val="both"/>
        <w:rPr>
          <w:rFonts w:ascii="Gill Sans MT" w:hAnsi="Gill Sans MT" w:cs="Times New Roman"/>
          <w:sz w:val="22"/>
        </w:rPr>
      </w:pPr>
      <w:r w:rsidRPr="000B62AD">
        <w:rPr>
          <w:rFonts w:ascii="Gill Sans MT" w:eastAsia="Times New Roman" w:hAnsi="Gill Sans MT" w:cs="Times New Roman"/>
          <w:b/>
          <w:sz w:val="22"/>
        </w:rPr>
        <w:t>Query 3:</w:t>
      </w:r>
      <w:r w:rsidRPr="000B62AD">
        <w:rPr>
          <w:rFonts w:ascii="Gill Sans MT" w:eastAsia="Times New Roman" w:hAnsi="Gill Sans MT" w:cs="Times New Roman"/>
          <w:sz w:val="22"/>
        </w:rPr>
        <w:t xml:space="preserve"> "TB survivors" AND "mortality risk" OR "predictors of death" OR "post-treatment outcomes"</w:t>
      </w:r>
    </w:p>
    <w:p w14:paraId="45E21235" w14:textId="77777777" w:rsidR="001E007B" w:rsidRPr="000B62AD" w:rsidRDefault="001E007B" w:rsidP="001E007B">
      <w:pPr>
        <w:jc w:val="both"/>
        <w:rPr>
          <w:rFonts w:ascii="Gill Sans MT" w:hAnsi="Gill Sans MT" w:cs="Times New Roman"/>
          <w:sz w:val="22"/>
        </w:rPr>
      </w:pPr>
      <w:r w:rsidRPr="000B62AD">
        <w:rPr>
          <w:rFonts w:ascii="Gill Sans MT" w:eastAsia="Times New Roman" w:hAnsi="Gill Sans MT" w:cs="Times New Roman"/>
          <w:sz w:val="22"/>
        </w:rPr>
        <w:t>No date restrictions were applied. Reference lists of included studies and relevant systematic reviews were hand-searched to identify additional eligible studies.</w:t>
      </w:r>
    </w:p>
    <w:p w14:paraId="0CE16774" w14:textId="77777777" w:rsidR="001E007B" w:rsidRPr="000B62AD" w:rsidRDefault="001E007B" w:rsidP="001E007B">
      <w:pPr>
        <w:pStyle w:val="Heading3"/>
        <w:spacing w:before="160" w:after="40"/>
        <w:rPr>
          <w:rFonts w:ascii="Gill Sans MT" w:hAnsi="Gill Sans MT" w:cs="Times New Roman"/>
          <w:color w:val="auto"/>
          <w:sz w:val="22"/>
        </w:rPr>
      </w:pPr>
      <w:r w:rsidRPr="000B62AD">
        <w:rPr>
          <w:rFonts w:ascii="Gill Sans MT" w:eastAsia="Times New Roman" w:hAnsi="Gill Sans MT" w:cs="Times New Roman"/>
          <w:color w:val="auto"/>
          <w:sz w:val="22"/>
        </w:rPr>
        <w:t>2.4 Study Selection</w:t>
      </w:r>
    </w:p>
    <w:p w14:paraId="3E4A8BB5" w14:textId="77777777" w:rsidR="001E007B" w:rsidRPr="000B62AD" w:rsidRDefault="001E007B" w:rsidP="001E007B">
      <w:pPr>
        <w:jc w:val="both"/>
        <w:rPr>
          <w:rFonts w:ascii="Gill Sans MT" w:hAnsi="Gill Sans MT" w:cs="Times New Roman"/>
          <w:sz w:val="22"/>
        </w:rPr>
      </w:pPr>
      <w:r w:rsidRPr="000B62AD">
        <w:rPr>
          <w:rFonts w:ascii="Gill Sans MT" w:eastAsia="Times New Roman" w:hAnsi="Gill Sans MT" w:cs="Times New Roman"/>
          <w:sz w:val="22"/>
        </w:rPr>
        <w:t>Search results were imported into a reference management system and deduplicated. Two reviewers independently screened titles and abstracts against the eligibility criteria. Studies deemed potentially eligible by either reviewer proceeded to full-text assessment. Two reviewers independently assessed full-text articles for eligibility, with disagreements resolved through discussion and, where necessary, consultation with a third reviewer. Exact intermediary screening counts were not retained in the archived screening log; however, total identified records, deduplicated records, and final included studies were verified.</w:t>
      </w:r>
    </w:p>
    <w:p w14:paraId="4CDE6BEE" w14:textId="77777777" w:rsidR="001E007B" w:rsidRPr="000B62AD" w:rsidRDefault="001E007B" w:rsidP="001E007B">
      <w:pPr>
        <w:pStyle w:val="Heading3"/>
        <w:spacing w:before="160" w:after="40"/>
        <w:rPr>
          <w:rFonts w:ascii="Gill Sans MT" w:hAnsi="Gill Sans MT" w:cs="Times New Roman"/>
          <w:color w:val="auto"/>
          <w:sz w:val="22"/>
        </w:rPr>
      </w:pPr>
      <w:r w:rsidRPr="000B62AD">
        <w:rPr>
          <w:rFonts w:ascii="Gill Sans MT" w:eastAsia="Times New Roman" w:hAnsi="Gill Sans MT" w:cs="Times New Roman"/>
          <w:color w:val="auto"/>
          <w:sz w:val="22"/>
        </w:rPr>
        <w:t>2.5 Data Extraction</w:t>
      </w:r>
    </w:p>
    <w:p w14:paraId="0BDF66C0" w14:textId="77777777" w:rsidR="001E007B" w:rsidRPr="000B62AD" w:rsidRDefault="001E007B" w:rsidP="001E007B">
      <w:pPr>
        <w:jc w:val="both"/>
        <w:rPr>
          <w:rFonts w:ascii="Gill Sans MT" w:hAnsi="Gill Sans MT" w:cs="Times New Roman"/>
          <w:sz w:val="22"/>
        </w:rPr>
      </w:pPr>
      <w:r w:rsidRPr="000B62AD">
        <w:rPr>
          <w:rFonts w:ascii="Gill Sans MT" w:eastAsia="Times New Roman" w:hAnsi="Gill Sans MT" w:cs="Times New Roman"/>
          <w:sz w:val="22"/>
        </w:rPr>
        <w:t>A standardized data extraction form was developed and piloted on five studies. One reviewer extracted data from all included studies, with a second reviewer independently extracting data from a random sample of 20% of studies to verify accuracy. Extracted data included:</w:t>
      </w:r>
    </w:p>
    <w:p w14:paraId="14758CB3" w14:textId="77777777" w:rsidR="001E007B" w:rsidRPr="000B62AD" w:rsidRDefault="001E007B" w:rsidP="001E007B">
      <w:pPr>
        <w:ind w:left="340" w:hanging="170"/>
        <w:jc w:val="both"/>
        <w:rPr>
          <w:rFonts w:ascii="Gill Sans MT" w:hAnsi="Gill Sans MT" w:cs="Times New Roman"/>
          <w:sz w:val="22"/>
        </w:rPr>
      </w:pPr>
      <w:r w:rsidRPr="000B62AD">
        <w:rPr>
          <w:rFonts w:ascii="Gill Sans MT" w:eastAsia="Times New Roman" w:hAnsi="Gill Sans MT" w:cs="Times New Roman"/>
          <w:sz w:val="22"/>
        </w:rPr>
        <w:t xml:space="preserve">- </w:t>
      </w:r>
      <w:r w:rsidRPr="000B62AD">
        <w:rPr>
          <w:rFonts w:ascii="Gill Sans MT" w:eastAsia="Times New Roman" w:hAnsi="Gill Sans MT" w:cs="Times New Roman"/>
          <w:b/>
          <w:sz w:val="22"/>
        </w:rPr>
        <w:t>Study characteristics:</w:t>
      </w:r>
      <w:r w:rsidRPr="000B62AD">
        <w:rPr>
          <w:rFonts w:ascii="Gill Sans MT" w:eastAsia="Times New Roman" w:hAnsi="Gill Sans MT" w:cs="Times New Roman"/>
          <w:sz w:val="22"/>
        </w:rPr>
        <w:t xml:space="preserve"> First author, year, country, income setting, study design, sample size, population characteristics (age, sex, HIV status, drug resistance, comorbidities), follow-up duration</w:t>
      </w:r>
    </w:p>
    <w:p w14:paraId="7CA3644C" w14:textId="77777777" w:rsidR="001E007B" w:rsidRPr="000B62AD" w:rsidRDefault="001E007B" w:rsidP="001E007B">
      <w:pPr>
        <w:ind w:left="340" w:hanging="170"/>
        <w:jc w:val="both"/>
        <w:rPr>
          <w:rFonts w:ascii="Gill Sans MT" w:hAnsi="Gill Sans MT" w:cs="Times New Roman"/>
          <w:sz w:val="22"/>
        </w:rPr>
      </w:pPr>
      <w:r w:rsidRPr="000B62AD">
        <w:rPr>
          <w:rFonts w:ascii="Gill Sans MT" w:eastAsia="Times New Roman" w:hAnsi="Gill Sans MT" w:cs="Times New Roman"/>
          <w:sz w:val="22"/>
        </w:rPr>
        <w:t xml:space="preserve">- Mortality outcomes: Incidence (proportion, rate per person-years, standardized mortality ratio [SMR]), comparison groups (general population, matched controls), cause-specific mortality </w:t>
      </w:r>
      <w:proofErr w:type="gramStart"/>
      <w:r w:rsidRPr="000B62AD">
        <w:rPr>
          <w:rFonts w:ascii="Gill Sans MT" w:eastAsia="Times New Roman" w:hAnsi="Gill Sans MT" w:cs="Times New Roman"/>
          <w:sz w:val="22"/>
        </w:rPr>
        <w:t>where</w:t>
      </w:r>
      <w:proofErr w:type="gramEnd"/>
      <w:r w:rsidRPr="000B62AD">
        <w:rPr>
          <w:rFonts w:ascii="Gill Sans MT" w:eastAsia="Times New Roman" w:hAnsi="Gill Sans MT" w:cs="Times New Roman"/>
          <w:sz w:val="22"/>
        </w:rPr>
        <w:t xml:space="preserve"> reported</w:t>
      </w:r>
    </w:p>
    <w:p w14:paraId="234BBD6F" w14:textId="77777777" w:rsidR="001E007B" w:rsidRPr="000B62AD" w:rsidRDefault="001E007B" w:rsidP="001E007B">
      <w:pPr>
        <w:ind w:left="340" w:hanging="170"/>
        <w:jc w:val="both"/>
        <w:rPr>
          <w:rFonts w:ascii="Gill Sans MT" w:hAnsi="Gill Sans MT" w:cs="Times New Roman"/>
          <w:sz w:val="22"/>
        </w:rPr>
      </w:pPr>
      <w:r w:rsidRPr="000B62AD">
        <w:rPr>
          <w:rFonts w:ascii="Gill Sans MT" w:eastAsia="Times New Roman" w:hAnsi="Gill Sans MT" w:cs="Times New Roman"/>
          <w:sz w:val="22"/>
        </w:rPr>
        <w:t xml:space="preserve">- </w:t>
      </w:r>
      <w:r w:rsidRPr="000B62AD">
        <w:rPr>
          <w:rFonts w:ascii="Gill Sans MT" w:eastAsia="Times New Roman" w:hAnsi="Gill Sans MT" w:cs="Times New Roman"/>
          <w:b/>
          <w:sz w:val="22"/>
        </w:rPr>
        <w:t>Timing of deaths:</w:t>
      </w:r>
      <w:r w:rsidRPr="000B62AD">
        <w:rPr>
          <w:rFonts w:ascii="Gill Sans MT" w:eastAsia="Times New Roman" w:hAnsi="Gill Sans MT" w:cs="Times New Roman"/>
          <w:sz w:val="22"/>
        </w:rPr>
        <w:t xml:space="preserve"> Distribution of deaths over follow-up period (e.g., proportion in first year, median time to death)</w:t>
      </w:r>
    </w:p>
    <w:p w14:paraId="2BAF0EB0" w14:textId="77777777" w:rsidR="001E007B" w:rsidRPr="000B62AD" w:rsidRDefault="001E007B" w:rsidP="001E007B">
      <w:pPr>
        <w:ind w:left="340" w:hanging="170"/>
        <w:jc w:val="both"/>
        <w:rPr>
          <w:rFonts w:ascii="Gill Sans MT" w:hAnsi="Gill Sans MT" w:cs="Times New Roman"/>
          <w:sz w:val="22"/>
        </w:rPr>
      </w:pPr>
      <w:r w:rsidRPr="000B62AD">
        <w:rPr>
          <w:rFonts w:ascii="Gill Sans MT" w:eastAsia="Times New Roman" w:hAnsi="Gill Sans MT" w:cs="Times New Roman"/>
          <w:sz w:val="22"/>
        </w:rPr>
        <w:t xml:space="preserve">- </w:t>
      </w:r>
      <w:r w:rsidRPr="000B62AD">
        <w:rPr>
          <w:rFonts w:ascii="Gill Sans MT" w:eastAsia="Times New Roman" w:hAnsi="Gill Sans MT" w:cs="Times New Roman"/>
          <w:b/>
          <w:sz w:val="22"/>
        </w:rPr>
        <w:t>Predictors of mortality:</w:t>
      </w:r>
      <w:r w:rsidRPr="000B62AD">
        <w:rPr>
          <w:rFonts w:ascii="Gill Sans MT" w:eastAsia="Times New Roman" w:hAnsi="Gill Sans MT" w:cs="Times New Roman"/>
          <w:sz w:val="22"/>
        </w:rPr>
        <w:t xml:space="preserve"> Demographic (age, sex), clinical (HIV, CD4 count, drug resistance, comorbidities, nutritional status, prior TB), socioeconomic (employment, income, education), and health-system factors (access to care, treatment adherence), with effect estimates (hazard ratios, odds ratios, relative risks) and 95% confidence intervals where available</w:t>
      </w:r>
    </w:p>
    <w:p w14:paraId="75D334B9" w14:textId="77777777" w:rsidR="001E007B" w:rsidRPr="000B62AD" w:rsidRDefault="001E007B" w:rsidP="001E007B">
      <w:pPr>
        <w:ind w:left="340" w:hanging="170"/>
        <w:jc w:val="both"/>
        <w:rPr>
          <w:rFonts w:ascii="Gill Sans MT" w:hAnsi="Gill Sans MT" w:cs="Times New Roman"/>
          <w:sz w:val="22"/>
        </w:rPr>
      </w:pPr>
      <w:r w:rsidRPr="000B62AD">
        <w:rPr>
          <w:rFonts w:ascii="Gill Sans MT" w:eastAsia="Times New Roman" w:hAnsi="Gill Sans MT" w:cs="Times New Roman"/>
          <w:sz w:val="22"/>
        </w:rPr>
        <w:t xml:space="preserve">- </w:t>
      </w:r>
      <w:r w:rsidRPr="000B62AD">
        <w:rPr>
          <w:rFonts w:ascii="Gill Sans MT" w:eastAsia="Times New Roman" w:hAnsi="Gill Sans MT" w:cs="Times New Roman"/>
          <w:b/>
          <w:sz w:val="22"/>
        </w:rPr>
        <w:t>Study quality indicators:</w:t>
      </w:r>
      <w:r w:rsidRPr="000B62AD">
        <w:rPr>
          <w:rFonts w:ascii="Gill Sans MT" w:eastAsia="Times New Roman" w:hAnsi="Gill Sans MT" w:cs="Times New Roman"/>
          <w:sz w:val="22"/>
        </w:rPr>
        <w:t xml:space="preserve"> Risk of bias assessment methods, loss to follow-up, adjustment for confounders</w:t>
      </w:r>
    </w:p>
    <w:p w14:paraId="429AA5A7" w14:textId="77777777" w:rsidR="001E007B" w:rsidRPr="000B62AD" w:rsidRDefault="001E007B" w:rsidP="001E007B">
      <w:pPr>
        <w:pStyle w:val="Heading3"/>
        <w:spacing w:before="160" w:after="40"/>
        <w:rPr>
          <w:rFonts w:ascii="Gill Sans MT" w:hAnsi="Gill Sans MT" w:cs="Times New Roman"/>
          <w:color w:val="auto"/>
          <w:sz w:val="22"/>
        </w:rPr>
      </w:pPr>
      <w:r w:rsidRPr="000B62AD">
        <w:rPr>
          <w:rFonts w:ascii="Gill Sans MT" w:eastAsia="Times New Roman" w:hAnsi="Gill Sans MT" w:cs="Times New Roman"/>
          <w:color w:val="auto"/>
          <w:sz w:val="22"/>
        </w:rPr>
        <w:t>2.6 Quality Assessment</w:t>
      </w:r>
    </w:p>
    <w:p w14:paraId="41D1C8AA" w14:textId="77777777" w:rsidR="001E007B" w:rsidRPr="000B62AD" w:rsidRDefault="001E007B" w:rsidP="001E007B">
      <w:pPr>
        <w:jc w:val="both"/>
        <w:rPr>
          <w:rFonts w:ascii="Gill Sans MT" w:hAnsi="Gill Sans MT" w:cs="Times New Roman"/>
          <w:sz w:val="22"/>
        </w:rPr>
      </w:pPr>
      <w:r w:rsidRPr="000B62AD">
        <w:rPr>
          <w:rFonts w:ascii="Gill Sans MT" w:eastAsia="Times New Roman" w:hAnsi="Gill Sans MT" w:cs="Times New Roman"/>
          <w:sz w:val="22"/>
        </w:rPr>
        <w:t xml:space="preserve">Study quality and risk of bias were assessed using criteria adapted from the Newcastle-Ottawa Scale for cohort studies [12]. We evaluated: (1) representativeness of the exposed cohort; (2) selection of the non-exposed cohort; (3) ascertainment of exposure (TB treatment completion); (4) demonstration that outcome (death) was not present at start of follow-up; (5) comparability of cohorts on the basis of design </w:t>
      </w:r>
      <w:r w:rsidRPr="000B62AD">
        <w:rPr>
          <w:rFonts w:ascii="Gill Sans MT" w:eastAsia="Times New Roman" w:hAnsi="Gill Sans MT" w:cs="Times New Roman"/>
          <w:sz w:val="22"/>
        </w:rPr>
        <w:lastRenderedPageBreak/>
        <w:t>or analysis; (6) assessment of outcome (mortality ascertainment); (7) adequacy of follow-up duration; and (8) adequacy of follow-up completeness. Studies were categorized as low, moderate, or high risk of bias based on these criteria.</w:t>
      </w:r>
    </w:p>
    <w:p w14:paraId="280C0929" w14:textId="77777777" w:rsidR="001E007B" w:rsidRPr="000B62AD" w:rsidRDefault="001E007B" w:rsidP="001E007B">
      <w:pPr>
        <w:pStyle w:val="Heading3"/>
        <w:spacing w:before="160" w:after="40"/>
        <w:rPr>
          <w:rFonts w:ascii="Gill Sans MT" w:hAnsi="Gill Sans MT" w:cs="Times New Roman"/>
          <w:color w:val="auto"/>
          <w:sz w:val="22"/>
        </w:rPr>
      </w:pPr>
      <w:r w:rsidRPr="000B62AD">
        <w:rPr>
          <w:rFonts w:ascii="Gill Sans MT" w:eastAsia="Times New Roman" w:hAnsi="Gill Sans MT" w:cs="Times New Roman"/>
          <w:color w:val="auto"/>
          <w:sz w:val="22"/>
        </w:rPr>
        <w:t>2.7 Data Synthesis</w:t>
      </w:r>
    </w:p>
    <w:p w14:paraId="70C836D8" w14:textId="77777777" w:rsidR="00170BD9" w:rsidRPr="000B62AD" w:rsidRDefault="001E007B">
      <w:pPr>
        <w:jc w:val="both"/>
        <w:rPr>
          <w:rFonts w:ascii="Gill Sans MT" w:hAnsi="Gill Sans MT" w:cs="Times New Roman"/>
          <w:sz w:val="22"/>
        </w:rPr>
      </w:pPr>
      <w:r w:rsidRPr="000B62AD">
        <w:rPr>
          <w:rFonts w:ascii="Gill Sans MT" w:eastAsia="Times New Roman" w:hAnsi="Gill Sans MT" w:cs="Times New Roman"/>
          <w:sz w:val="22"/>
        </w:rPr>
        <w:t>Due to substantial heterogeneity in study populations, follow-up durations, and outcome definitions, we conducted a narrative synthesis organized by review questions. We summarized mortality incidence, timing, and predictors across studies, highlighting consistent findings and sources of heterogeneity. Where multiple studies reported similar outcomes (e.g., SMR, mortality rates), we presented ranges and, where available, pooled estimates from existing meta-analyses. We did not conduct additional meta-analysis due to the availability of a recent high-quality systematic review and meta-analysis [11] and the high heterogeneity documented therein (I²=99%).</w:t>
      </w:r>
    </w:p>
    <w:p w14:paraId="4BECEB36" w14:textId="77777777" w:rsidR="00170BD9" w:rsidRPr="007E6C36" w:rsidRDefault="00000000">
      <w:pPr>
        <w:pStyle w:val="SectionHeadingAIDSAE"/>
        <w:rPr>
          <w:rFonts w:ascii="Gill Sans MT" w:hAnsi="Gill Sans MT"/>
          <w:sz w:val="24"/>
          <w:szCs w:val="24"/>
        </w:rPr>
      </w:pPr>
      <w:r w:rsidRPr="007E6C36">
        <w:rPr>
          <w:rFonts w:ascii="Gill Sans MT" w:hAnsi="Gill Sans MT"/>
          <w:sz w:val="24"/>
          <w:szCs w:val="24"/>
        </w:rPr>
        <w:t>3. Results</w:t>
      </w:r>
    </w:p>
    <w:p w14:paraId="5B086270" w14:textId="77777777" w:rsidR="000B62AD" w:rsidRPr="007E6C36" w:rsidRDefault="000B62AD" w:rsidP="000B62AD">
      <w:pPr>
        <w:pStyle w:val="Heading3"/>
        <w:spacing w:before="160" w:after="40"/>
        <w:rPr>
          <w:rFonts w:ascii="Gill Sans MT" w:hAnsi="Gill Sans MT"/>
          <w:color w:val="auto"/>
          <w:sz w:val="22"/>
        </w:rPr>
      </w:pPr>
      <w:r w:rsidRPr="007E6C36">
        <w:rPr>
          <w:rFonts w:ascii="Gill Sans MT" w:eastAsia="Times New Roman" w:hAnsi="Gill Sans MT" w:cs="Times New Roman"/>
          <w:color w:val="auto"/>
          <w:sz w:val="22"/>
        </w:rPr>
        <w:t>3.1 Study Selection</w:t>
      </w:r>
    </w:p>
    <w:p w14:paraId="6BB54B23" w14:textId="77777777" w:rsidR="000B62AD" w:rsidRPr="00134130" w:rsidRDefault="000B62AD" w:rsidP="000B62AD">
      <w:pPr>
        <w:jc w:val="both"/>
        <w:rPr>
          <w:rFonts w:ascii="Gill Sans MT" w:hAnsi="Gill Sans MT"/>
          <w:sz w:val="22"/>
        </w:rPr>
      </w:pPr>
      <w:r w:rsidRPr="00134130">
        <w:rPr>
          <w:rFonts w:ascii="Gill Sans MT" w:hAnsi="Gill Sans MT"/>
          <w:sz w:val="22"/>
        </w:rPr>
        <w:t xml:space="preserve">The search strategy identified 660 records across three databases. After deduplication, 218 unique records remained, meaning that 442 duplicate records were removed. Thirty studies met the inclusion criteria and were included in the qualitative synthesis. Because the archived screening log did not preserve separate title/abstract and full-text exclusion counts, the PRISMA flow diagram was simplified to report only confirmed or arithmetically derived totals: records identified, duplicates removed, records screened/assessed after deduplication, total exclusions before inclusion, and studies included. Common reasons for exclusion included studies focused only on on-treatment mortality, non-original articles, conference abstracts without full results, articles without a post-treatment mortality outcome, and non-English publications. The study selection process is summarized in </w:t>
      </w:r>
      <w:r w:rsidRPr="002D088E">
        <w:rPr>
          <w:rFonts w:ascii="Gill Sans MT" w:hAnsi="Gill Sans MT"/>
          <w:b/>
          <w:bCs/>
          <w:sz w:val="22"/>
        </w:rPr>
        <w:t>Figure 1.</w:t>
      </w:r>
    </w:p>
    <w:p w14:paraId="25105F80" w14:textId="7A50B033" w:rsidR="000B62AD" w:rsidRPr="000B62AD" w:rsidRDefault="00134130" w:rsidP="000B62AD">
      <w:pPr>
        <w:jc w:val="center"/>
      </w:pPr>
      <w:r>
        <w:rPr>
          <w:noProof/>
        </w:rPr>
        <w:drawing>
          <wp:inline distT="0" distB="0" distL="0" distR="0" wp14:anchorId="04848539" wp14:editId="3062616E">
            <wp:extent cx="4393995" cy="2668822"/>
            <wp:effectExtent l="0" t="0" r="698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6"/>
                    <a:stretch>
                      <a:fillRect/>
                    </a:stretch>
                  </pic:blipFill>
                  <pic:spPr>
                    <a:xfrm>
                      <a:off x="0" y="0"/>
                      <a:ext cx="4393995" cy="2668822"/>
                    </a:xfrm>
                    <a:prstGeom prst="rect">
                      <a:avLst/>
                    </a:prstGeom>
                  </pic:spPr>
                </pic:pic>
              </a:graphicData>
            </a:graphic>
          </wp:inline>
        </w:drawing>
      </w:r>
    </w:p>
    <w:p w14:paraId="4269D9A6" w14:textId="4D49B446" w:rsidR="000B62AD" w:rsidRPr="002D088E" w:rsidRDefault="000B62AD" w:rsidP="00134130">
      <w:pPr>
        <w:spacing w:before="160" w:after="80"/>
        <w:jc w:val="center"/>
        <w:rPr>
          <w:rFonts w:ascii="Gill Sans MT" w:hAnsi="Gill Sans MT"/>
          <w:sz w:val="18"/>
          <w:szCs w:val="18"/>
        </w:rPr>
      </w:pPr>
      <w:r w:rsidRPr="002D088E">
        <w:rPr>
          <w:rFonts w:ascii="Gill Sans MT" w:hAnsi="Gill Sans MT"/>
          <w:b/>
          <w:bCs/>
          <w:sz w:val="18"/>
          <w:szCs w:val="18"/>
        </w:rPr>
        <w:t>Figure 1.</w:t>
      </w:r>
      <w:r w:rsidRPr="002D088E">
        <w:rPr>
          <w:rFonts w:ascii="Gill Sans MT" w:hAnsi="Gill Sans MT"/>
          <w:sz w:val="18"/>
          <w:szCs w:val="18"/>
        </w:rPr>
        <w:t xml:space="preserve"> Simplified PRISMA-style flow diagram of study selection.</w:t>
      </w:r>
      <w:r w:rsidR="00134130" w:rsidRPr="002D088E">
        <w:rPr>
          <w:rFonts w:ascii="Gill Sans MT" w:hAnsi="Gill Sans MT"/>
          <w:sz w:val="18"/>
          <w:szCs w:val="18"/>
        </w:rPr>
        <w:t xml:space="preserve"> </w:t>
      </w:r>
      <w:r w:rsidRPr="002D088E">
        <w:rPr>
          <w:rFonts w:ascii="Gill Sans MT" w:hAnsi="Gill Sans MT"/>
          <w:sz w:val="18"/>
          <w:szCs w:val="18"/>
        </w:rPr>
        <w:t>Only verified totals and arithmetically derived counts are shown because the archived screening log did not retain separate title/abstract and full-text exclusion counts.</w:t>
      </w:r>
    </w:p>
    <w:p w14:paraId="71CF80C2" w14:textId="77777777" w:rsidR="000B62AD" w:rsidRPr="007E6C36" w:rsidRDefault="000B62AD" w:rsidP="000B62AD">
      <w:pPr>
        <w:pStyle w:val="Heading3"/>
        <w:spacing w:before="160" w:after="40"/>
        <w:rPr>
          <w:rFonts w:ascii="Gill Sans MT" w:hAnsi="Gill Sans MT"/>
          <w:color w:val="auto"/>
          <w:sz w:val="22"/>
        </w:rPr>
      </w:pPr>
      <w:r w:rsidRPr="007E6C36">
        <w:rPr>
          <w:rFonts w:ascii="Gill Sans MT" w:eastAsia="Times New Roman" w:hAnsi="Gill Sans MT" w:cs="Times New Roman"/>
          <w:color w:val="auto"/>
          <w:sz w:val="22"/>
        </w:rPr>
        <w:t>3.2 Study Characteristics</w:t>
      </w:r>
    </w:p>
    <w:p w14:paraId="408B7755" w14:textId="77777777" w:rsidR="000B62AD" w:rsidRPr="00915354" w:rsidRDefault="000B62AD" w:rsidP="000B62AD">
      <w:pPr>
        <w:jc w:val="both"/>
        <w:rPr>
          <w:rFonts w:ascii="Gill Sans MT" w:hAnsi="Gill Sans MT"/>
        </w:rPr>
      </w:pPr>
      <w:r w:rsidRPr="00915354">
        <w:rPr>
          <w:rFonts w:ascii="Gill Sans MT" w:eastAsia="Times New Roman" w:hAnsi="Gill Sans MT" w:cs="Times New Roman"/>
          <w:sz w:val="22"/>
        </w:rPr>
        <w:t>The 30 included studies represented diverse geographic settings, with studies conducted in Uganda [1], [2], [7], Georgia (country) [3], [8], [27], Georgia (USA) [4], [21], Israel [24], China [4], [11], India [10], [29], Haiti [25], Vietnam [18], Brazil [11], [12], South Korea [5], [9], [19], Spain [3], [20], Sierra Leone [16], South Africa [17], and multi-country systematic reviews [6], [30]. Study designs included retrospective cohorts (n=18), prospective cohorts (n=8), cross-sectional studies (n=2), and systematic reviews (n=2).</w:t>
      </w:r>
    </w:p>
    <w:p w14:paraId="416DBE3D" w14:textId="77777777" w:rsidR="000B62AD" w:rsidRPr="00915354" w:rsidRDefault="000B62AD" w:rsidP="000B62AD">
      <w:pPr>
        <w:jc w:val="both"/>
        <w:rPr>
          <w:rFonts w:ascii="Gill Sans MT" w:hAnsi="Gill Sans MT"/>
        </w:rPr>
      </w:pPr>
      <w:r w:rsidRPr="00915354">
        <w:rPr>
          <w:rFonts w:ascii="Gill Sans MT" w:eastAsia="Times New Roman" w:hAnsi="Gill Sans MT" w:cs="Times New Roman"/>
          <w:sz w:val="22"/>
        </w:rPr>
        <w:lastRenderedPageBreak/>
        <w:t>Sample sizes ranged from 111 to 3,182 participants in individual cohort studies, with systematic reviews pooling data from up to 40,781 individuals [30]. Populations varied widely: some studies focused on HIV-positive cohorts [2], [4], [13], [25], [28], others on drug-resistant TB [3], [8], [14], [18], [27], and several included general TB survivor populations [1], [5], [7], [10], [21], [24], [29]. Follow-up duration ranged from 5 years [2], [10], [13], [29] to more than 11 years [6], [24], with median follow-up of 6.4 years in one large US cohort [21].</w:t>
      </w:r>
    </w:p>
    <w:p w14:paraId="2A27F324" w14:textId="77777777" w:rsidR="000B62AD" w:rsidRPr="000B62AD" w:rsidRDefault="000B62AD" w:rsidP="000B62AD">
      <w:pPr>
        <w:jc w:val="both"/>
        <w:rPr>
          <w:rFonts w:ascii="Gill Sans MT" w:hAnsi="Gill Sans MT"/>
        </w:rPr>
      </w:pPr>
      <w:r w:rsidRPr="000B62AD">
        <w:rPr>
          <w:rFonts w:ascii="Gill Sans MT" w:eastAsia="Times New Roman" w:hAnsi="Gill Sans MT" w:cs="Times New Roman"/>
          <w:sz w:val="22"/>
        </w:rPr>
        <w:t xml:space="preserve">Study characteristics are summarized in </w:t>
      </w:r>
      <w:r w:rsidRPr="002D088E">
        <w:rPr>
          <w:rFonts w:ascii="Gill Sans MT" w:eastAsia="Times New Roman" w:hAnsi="Gill Sans MT" w:cs="Times New Roman"/>
          <w:b/>
          <w:bCs/>
          <w:sz w:val="22"/>
        </w:rPr>
        <w:t>Table 1.</w:t>
      </w:r>
    </w:p>
    <w:p w14:paraId="59A782C5" w14:textId="77777777" w:rsidR="000B62AD" w:rsidRPr="000B62AD" w:rsidRDefault="000B62AD" w:rsidP="000B62AD">
      <w:pPr>
        <w:spacing w:before="160" w:after="80"/>
        <w:rPr>
          <w:rFonts w:ascii="Gill Sans MT" w:hAnsi="Gill Sans MT"/>
        </w:rPr>
      </w:pPr>
      <w:r w:rsidRPr="000B62AD">
        <w:rPr>
          <w:rFonts w:ascii="Gill Sans MT" w:eastAsia="Times New Roman" w:hAnsi="Gill Sans MT" w:cs="Times New Roman"/>
          <w:b/>
          <w:sz w:val="22"/>
        </w:rPr>
        <w:t>Table 1. Characteristics of Included Studies</w:t>
      </w:r>
    </w:p>
    <w:tbl>
      <w:tblPr>
        <w:tblStyle w:val="TableGrid"/>
        <w:tblW w:w="0" w:type="auto"/>
        <w:jc w:val="center"/>
        <w:tblBorders>
          <w:left w:val="none" w:sz="0" w:space="0" w:color="auto"/>
          <w:right w:val="none" w:sz="0" w:space="0" w:color="auto"/>
        </w:tblBorders>
        <w:tblLook w:val="04A0" w:firstRow="1" w:lastRow="0" w:firstColumn="1" w:lastColumn="0" w:noHBand="0" w:noVBand="1"/>
      </w:tblPr>
      <w:tblGrid>
        <w:gridCol w:w="1379"/>
        <w:gridCol w:w="1080"/>
        <w:gridCol w:w="1463"/>
        <w:gridCol w:w="1790"/>
        <w:gridCol w:w="1062"/>
        <w:gridCol w:w="1322"/>
        <w:gridCol w:w="1758"/>
      </w:tblGrid>
      <w:tr w:rsidR="000B62AD" w:rsidRPr="002D088E" w14:paraId="2DD991B6" w14:textId="77777777" w:rsidTr="007E6C36">
        <w:trPr>
          <w:jc w:val="center"/>
        </w:trPr>
        <w:tc>
          <w:tcPr>
            <w:tcW w:w="1814" w:type="dxa"/>
            <w:tcBorders>
              <w:bottom w:val="single" w:sz="4" w:space="0" w:color="auto"/>
              <w:right w:val="nil"/>
            </w:tcBorders>
            <w:vAlign w:val="center"/>
          </w:tcPr>
          <w:p w14:paraId="0A509F7A"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b/>
                <w:sz w:val="22"/>
              </w:rPr>
              <w:t>Study</w:t>
            </w:r>
          </w:p>
        </w:tc>
        <w:tc>
          <w:tcPr>
            <w:tcW w:w="1247" w:type="dxa"/>
            <w:tcBorders>
              <w:left w:val="nil"/>
              <w:bottom w:val="single" w:sz="4" w:space="0" w:color="auto"/>
              <w:right w:val="nil"/>
            </w:tcBorders>
            <w:vAlign w:val="center"/>
          </w:tcPr>
          <w:p w14:paraId="5202D1FA"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b/>
                <w:sz w:val="22"/>
              </w:rPr>
              <w:t>Country</w:t>
            </w:r>
          </w:p>
        </w:tc>
        <w:tc>
          <w:tcPr>
            <w:tcW w:w="1644" w:type="dxa"/>
            <w:tcBorders>
              <w:left w:val="nil"/>
              <w:bottom w:val="single" w:sz="4" w:space="0" w:color="auto"/>
              <w:right w:val="nil"/>
            </w:tcBorders>
            <w:vAlign w:val="center"/>
          </w:tcPr>
          <w:p w14:paraId="513E48AC"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b/>
                <w:sz w:val="22"/>
              </w:rPr>
              <w:t>Design</w:t>
            </w:r>
          </w:p>
        </w:tc>
        <w:tc>
          <w:tcPr>
            <w:tcW w:w="1701" w:type="dxa"/>
            <w:tcBorders>
              <w:left w:val="nil"/>
              <w:bottom w:val="single" w:sz="4" w:space="0" w:color="auto"/>
              <w:right w:val="nil"/>
            </w:tcBorders>
            <w:vAlign w:val="center"/>
          </w:tcPr>
          <w:p w14:paraId="5D76DB0E"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b/>
                <w:sz w:val="22"/>
              </w:rPr>
              <w:t>Population</w:t>
            </w:r>
          </w:p>
        </w:tc>
        <w:tc>
          <w:tcPr>
            <w:tcW w:w="1247" w:type="dxa"/>
            <w:tcBorders>
              <w:left w:val="nil"/>
              <w:bottom w:val="single" w:sz="4" w:space="0" w:color="auto"/>
              <w:right w:val="nil"/>
            </w:tcBorders>
            <w:vAlign w:val="center"/>
          </w:tcPr>
          <w:p w14:paraId="33BE897E"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b/>
                <w:sz w:val="22"/>
              </w:rPr>
              <w:t>Sample Size</w:t>
            </w:r>
          </w:p>
        </w:tc>
        <w:tc>
          <w:tcPr>
            <w:tcW w:w="1701" w:type="dxa"/>
            <w:tcBorders>
              <w:left w:val="nil"/>
              <w:bottom w:val="single" w:sz="4" w:space="0" w:color="auto"/>
              <w:right w:val="nil"/>
            </w:tcBorders>
            <w:vAlign w:val="center"/>
          </w:tcPr>
          <w:p w14:paraId="2FAD85B5"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b/>
                <w:sz w:val="22"/>
              </w:rPr>
              <w:t>Follow-up Duration</w:t>
            </w:r>
          </w:p>
        </w:tc>
        <w:tc>
          <w:tcPr>
            <w:tcW w:w="1814" w:type="dxa"/>
            <w:tcBorders>
              <w:left w:val="nil"/>
              <w:bottom w:val="single" w:sz="4" w:space="0" w:color="auto"/>
            </w:tcBorders>
            <w:vAlign w:val="center"/>
          </w:tcPr>
          <w:p w14:paraId="2EEF4FEA"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b/>
                <w:sz w:val="22"/>
              </w:rPr>
              <w:t>Mortality Ascertainment</w:t>
            </w:r>
          </w:p>
        </w:tc>
      </w:tr>
      <w:tr w:rsidR="000B62AD" w:rsidRPr="002D088E" w14:paraId="0F5070BF" w14:textId="77777777" w:rsidTr="007E6C36">
        <w:trPr>
          <w:jc w:val="center"/>
        </w:trPr>
        <w:tc>
          <w:tcPr>
            <w:tcW w:w="1814" w:type="dxa"/>
            <w:tcBorders>
              <w:bottom w:val="nil"/>
              <w:right w:val="nil"/>
            </w:tcBorders>
            <w:vAlign w:val="center"/>
          </w:tcPr>
          <w:p w14:paraId="0EB7B475" w14:textId="77777777" w:rsidR="000B62AD" w:rsidRPr="002D088E" w:rsidRDefault="000B62AD" w:rsidP="00B015AF">
            <w:pPr>
              <w:spacing w:before="20" w:after="20"/>
              <w:rPr>
                <w:rFonts w:ascii="Gill Sans MT" w:hAnsi="Gill Sans MT"/>
                <w:sz w:val="22"/>
              </w:rPr>
            </w:pPr>
            <w:proofErr w:type="spellStart"/>
            <w:r w:rsidRPr="002D088E">
              <w:rPr>
                <w:rFonts w:ascii="Gill Sans MT" w:eastAsia="Times New Roman" w:hAnsi="Gill Sans MT" w:cs="Times New Roman"/>
                <w:sz w:val="22"/>
              </w:rPr>
              <w:t>Baluku</w:t>
            </w:r>
            <w:proofErr w:type="spellEnd"/>
            <w:r w:rsidRPr="002D088E">
              <w:rPr>
                <w:rFonts w:ascii="Gill Sans MT" w:eastAsia="Times New Roman" w:hAnsi="Gill Sans MT" w:cs="Times New Roman"/>
                <w:sz w:val="22"/>
              </w:rPr>
              <w:t xml:space="preserve"> 2024 [1]</w:t>
            </w:r>
          </w:p>
        </w:tc>
        <w:tc>
          <w:tcPr>
            <w:tcW w:w="1247" w:type="dxa"/>
            <w:tcBorders>
              <w:left w:val="nil"/>
              <w:bottom w:val="nil"/>
              <w:right w:val="nil"/>
            </w:tcBorders>
            <w:vAlign w:val="center"/>
          </w:tcPr>
          <w:p w14:paraId="3892AEF7"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Uganda</w:t>
            </w:r>
          </w:p>
        </w:tc>
        <w:tc>
          <w:tcPr>
            <w:tcW w:w="1644" w:type="dxa"/>
            <w:tcBorders>
              <w:left w:val="nil"/>
              <w:bottom w:val="nil"/>
              <w:right w:val="nil"/>
            </w:tcBorders>
            <w:vAlign w:val="center"/>
          </w:tcPr>
          <w:p w14:paraId="6E4F17FD"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Retrospective cohort</w:t>
            </w:r>
          </w:p>
        </w:tc>
        <w:tc>
          <w:tcPr>
            <w:tcW w:w="1701" w:type="dxa"/>
            <w:tcBorders>
              <w:left w:val="nil"/>
              <w:bottom w:val="nil"/>
              <w:right w:val="nil"/>
            </w:tcBorders>
            <w:vAlign w:val="center"/>
          </w:tcPr>
          <w:p w14:paraId="6B583214"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PTB survivors</w:t>
            </w:r>
          </w:p>
        </w:tc>
        <w:tc>
          <w:tcPr>
            <w:tcW w:w="1247" w:type="dxa"/>
            <w:tcBorders>
              <w:left w:val="nil"/>
              <w:bottom w:val="nil"/>
              <w:right w:val="nil"/>
            </w:tcBorders>
            <w:vAlign w:val="center"/>
          </w:tcPr>
          <w:p w14:paraId="31861C22"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334</w:t>
            </w:r>
          </w:p>
        </w:tc>
        <w:tc>
          <w:tcPr>
            <w:tcW w:w="1701" w:type="dxa"/>
            <w:tcBorders>
              <w:left w:val="nil"/>
              <w:bottom w:val="nil"/>
              <w:right w:val="nil"/>
            </w:tcBorders>
            <w:vAlign w:val="center"/>
          </w:tcPr>
          <w:p w14:paraId="00F2095D"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2013–2023</w:t>
            </w:r>
          </w:p>
        </w:tc>
        <w:tc>
          <w:tcPr>
            <w:tcW w:w="1814" w:type="dxa"/>
            <w:tcBorders>
              <w:left w:val="nil"/>
              <w:bottom w:val="nil"/>
            </w:tcBorders>
            <w:vAlign w:val="center"/>
          </w:tcPr>
          <w:p w14:paraId="605DF36C"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Chart review</w:t>
            </w:r>
          </w:p>
        </w:tc>
      </w:tr>
      <w:tr w:rsidR="000B62AD" w:rsidRPr="002D088E" w14:paraId="514DE176" w14:textId="77777777" w:rsidTr="007E6C36">
        <w:trPr>
          <w:jc w:val="center"/>
        </w:trPr>
        <w:tc>
          <w:tcPr>
            <w:tcW w:w="1814" w:type="dxa"/>
            <w:tcBorders>
              <w:top w:val="nil"/>
              <w:bottom w:val="nil"/>
              <w:right w:val="nil"/>
            </w:tcBorders>
            <w:vAlign w:val="center"/>
          </w:tcPr>
          <w:p w14:paraId="1C020DA8" w14:textId="77777777" w:rsidR="000B62AD" w:rsidRPr="002D088E" w:rsidRDefault="000B62AD" w:rsidP="00B015AF">
            <w:pPr>
              <w:spacing w:before="20" w:after="20"/>
              <w:rPr>
                <w:rFonts w:ascii="Gill Sans MT" w:hAnsi="Gill Sans MT"/>
                <w:sz w:val="22"/>
              </w:rPr>
            </w:pPr>
            <w:proofErr w:type="spellStart"/>
            <w:r w:rsidRPr="002D088E">
              <w:rPr>
                <w:rFonts w:ascii="Gill Sans MT" w:eastAsia="Times New Roman" w:hAnsi="Gill Sans MT" w:cs="Times New Roman"/>
                <w:sz w:val="22"/>
              </w:rPr>
              <w:t>Lumu</w:t>
            </w:r>
            <w:proofErr w:type="spellEnd"/>
            <w:r w:rsidRPr="002D088E">
              <w:rPr>
                <w:rFonts w:ascii="Gill Sans MT" w:eastAsia="Times New Roman" w:hAnsi="Gill Sans MT" w:cs="Times New Roman"/>
                <w:sz w:val="22"/>
              </w:rPr>
              <w:t xml:space="preserve"> 2023 [2]</w:t>
            </w:r>
          </w:p>
        </w:tc>
        <w:tc>
          <w:tcPr>
            <w:tcW w:w="1247" w:type="dxa"/>
            <w:tcBorders>
              <w:top w:val="nil"/>
              <w:left w:val="nil"/>
              <w:bottom w:val="nil"/>
              <w:right w:val="nil"/>
            </w:tcBorders>
            <w:vAlign w:val="center"/>
          </w:tcPr>
          <w:p w14:paraId="15D29756"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Uganda</w:t>
            </w:r>
          </w:p>
        </w:tc>
        <w:tc>
          <w:tcPr>
            <w:tcW w:w="1644" w:type="dxa"/>
            <w:tcBorders>
              <w:top w:val="nil"/>
              <w:left w:val="nil"/>
              <w:bottom w:val="nil"/>
              <w:right w:val="nil"/>
            </w:tcBorders>
            <w:vAlign w:val="center"/>
          </w:tcPr>
          <w:p w14:paraId="4B0485A6"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Retrospective cohort</w:t>
            </w:r>
          </w:p>
        </w:tc>
        <w:tc>
          <w:tcPr>
            <w:tcW w:w="1701" w:type="dxa"/>
            <w:tcBorders>
              <w:top w:val="nil"/>
              <w:left w:val="nil"/>
              <w:bottom w:val="nil"/>
              <w:right w:val="nil"/>
            </w:tcBorders>
            <w:vAlign w:val="center"/>
          </w:tcPr>
          <w:p w14:paraId="07880F1E"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HIV+ TB completers</w:t>
            </w:r>
          </w:p>
        </w:tc>
        <w:tc>
          <w:tcPr>
            <w:tcW w:w="1247" w:type="dxa"/>
            <w:tcBorders>
              <w:top w:val="nil"/>
              <w:left w:val="nil"/>
              <w:bottom w:val="nil"/>
              <w:right w:val="nil"/>
            </w:tcBorders>
            <w:vAlign w:val="center"/>
          </w:tcPr>
          <w:p w14:paraId="09B8B543"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1,111</w:t>
            </w:r>
          </w:p>
        </w:tc>
        <w:tc>
          <w:tcPr>
            <w:tcW w:w="1701" w:type="dxa"/>
            <w:tcBorders>
              <w:top w:val="nil"/>
              <w:left w:val="nil"/>
              <w:bottom w:val="nil"/>
              <w:right w:val="nil"/>
            </w:tcBorders>
            <w:vAlign w:val="center"/>
          </w:tcPr>
          <w:p w14:paraId="0E0E8A22"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5 years</w:t>
            </w:r>
          </w:p>
        </w:tc>
        <w:tc>
          <w:tcPr>
            <w:tcW w:w="1814" w:type="dxa"/>
            <w:tcBorders>
              <w:top w:val="nil"/>
              <w:left w:val="nil"/>
              <w:bottom w:val="nil"/>
            </w:tcBorders>
            <w:vAlign w:val="center"/>
          </w:tcPr>
          <w:p w14:paraId="5ED5F611"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Registry linkage</w:t>
            </w:r>
          </w:p>
        </w:tc>
      </w:tr>
      <w:tr w:rsidR="000B62AD" w:rsidRPr="002D088E" w14:paraId="3557317D" w14:textId="77777777" w:rsidTr="007E6C36">
        <w:trPr>
          <w:jc w:val="center"/>
        </w:trPr>
        <w:tc>
          <w:tcPr>
            <w:tcW w:w="1814" w:type="dxa"/>
            <w:tcBorders>
              <w:top w:val="nil"/>
              <w:bottom w:val="nil"/>
              <w:right w:val="nil"/>
            </w:tcBorders>
            <w:vAlign w:val="center"/>
          </w:tcPr>
          <w:p w14:paraId="33CF4C4D"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Millet 2011 [3]</w:t>
            </w:r>
          </w:p>
        </w:tc>
        <w:tc>
          <w:tcPr>
            <w:tcW w:w="1247" w:type="dxa"/>
            <w:tcBorders>
              <w:top w:val="nil"/>
              <w:left w:val="nil"/>
              <w:bottom w:val="nil"/>
              <w:right w:val="nil"/>
            </w:tcBorders>
            <w:vAlign w:val="center"/>
          </w:tcPr>
          <w:p w14:paraId="32AEF70C"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Spain</w:t>
            </w:r>
          </w:p>
        </w:tc>
        <w:tc>
          <w:tcPr>
            <w:tcW w:w="1644" w:type="dxa"/>
            <w:tcBorders>
              <w:top w:val="nil"/>
              <w:left w:val="nil"/>
              <w:bottom w:val="nil"/>
              <w:right w:val="nil"/>
            </w:tcBorders>
            <w:vAlign w:val="center"/>
          </w:tcPr>
          <w:p w14:paraId="7D484F5D"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Retrospective cohort</w:t>
            </w:r>
          </w:p>
        </w:tc>
        <w:tc>
          <w:tcPr>
            <w:tcW w:w="1701" w:type="dxa"/>
            <w:tcBorders>
              <w:top w:val="nil"/>
              <w:left w:val="nil"/>
              <w:bottom w:val="nil"/>
              <w:right w:val="nil"/>
            </w:tcBorders>
            <w:vAlign w:val="center"/>
          </w:tcPr>
          <w:p w14:paraId="5A1991FA"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MDR-TB completers</w:t>
            </w:r>
          </w:p>
        </w:tc>
        <w:tc>
          <w:tcPr>
            <w:tcW w:w="1247" w:type="dxa"/>
            <w:tcBorders>
              <w:top w:val="nil"/>
              <w:left w:val="nil"/>
              <w:bottom w:val="nil"/>
              <w:right w:val="nil"/>
            </w:tcBorders>
            <w:vAlign w:val="center"/>
          </w:tcPr>
          <w:p w14:paraId="220212F1"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762</w:t>
            </w:r>
          </w:p>
        </w:tc>
        <w:tc>
          <w:tcPr>
            <w:tcW w:w="1701" w:type="dxa"/>
            <w:tcBorders>
              <w:top w:val="nil"/>
              <w:left w:val="nil"/>
              <w:bottom w:val="nil"/>
              <w:right w:val="nil"/>
            </w:tcBorders>
            <w:vAlign w:val="center"/>
          </w:tcPr>
          <w:p w14:paraId="449D6956"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Median 4.8 years</w:t>
            </w:r>
          </w:p>
        </w:tc>
        <w:tc>
          <w:tcPr>
            <w:tcW w:w="1814" w:type="dxa"/>
            <w:tcBorders>
              <w:top w:val="nil"/>
              <w:left w:val="nil"/>
              <w:bottom w:val="nil"/>
            </w:tcBorders>
            <w:vAlign w:val="center"/>
          </w:tcPr>
          <w:p w14:paraId="65DEF483"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Death registry</w:t>
            </w:r>
          </w:p>
        </w:tc>
      </w:tr>
      <w:tr w:rsidR="000B62AD" w:rsidRPr="002D088E" w14:paraId="1F06DEFF" w14:textId="77777777" w:rsidTr="007E6C36">
        <w:trPr>
          <w:jc w:val="center"/>
        </w:trPr>
        <w:tc>
          <w:tcPr>
            <w:tcW w:w="1814" w:type="dxa"/>
            <w:tcBorders>
              <w:top w:val="nil"/>
              <w:bottom w:val="nil"/>
              <w:right w:val="nil"/>
            </w:tcBorders>
            <w:vAlign w:val="center"/>
          </w:tcPr>
          <w:p w14:paraId="6D125176"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Zheng 2020 [4]</w:t>
            </w:r>
          </w:p>
        </w:tc>
        <w:tc>
          <w:tcPr>
            <w:tcW w:w="1247" w:type="dxa"/>
            <w:tcBorders>
              <w:top w:val="nil"/>
              <w:left w:val="nil"/>
              <w:bottom w:val="nil"/>
              <w:right w:val="nil"/>
            </w:tcBorders>
            <w:vAlign w:val="center"/>
          </w:tcPr>
          <w:p w14:paraId="72CC1FE3"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China</w:t>
            </w:r>
          </w:p>
        </w:tc>
        <w:tc>
          <w:tcPr>
            <w:tcW w:w="1644" w:type="dxa"/>
            <w:tcBorders>
              <w:top w:val="nil"/>
              <w:left w:val="nil"/>
              <w:bottom w:val="nil"/>
              <w:right w:val="nil"/>
            </w:tcBorders>
            <w:vAlign w:val="center"/>
          </w:tcPr>
          <w:p w14:paraId="1BF049C5"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Longitudinal cohort</w:t>
            </w:r>
          </w:p>
        </w:tc>
        <w:tc>
          <w:tcPr>
            <w:tcW w:w="1701" w:type="dxa"/>
            <w:tcBorders>
              <w:top w:val="nil"/>
              <w:left w:val="nil"/>
              <w:bottom w:val="nil"/>
              <w:right w:val="nil"/>
            </w:tcBorders>
            <w:vAlign w:val="center"/>
          </w:tcPr>
          <w:p w14:paraId="6C4AB93F"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HIV-TB coinfected</w:t>
            </w:r>
          </w:p>
        </w:tc>
        <w:tc>
          <w:tcPr>
            <w:tcW w:w="1247" w:type="dxa"/>
            <w:tcBorders>
              <w:top w:val="nil"/>
              <w:left w:val="nil"/>
              <w:bottom w:val="nil"/>
              <w:right w:val="nil"/>
            </w:tcBorders>
            <w:vAlign w:val="center"/>
          </w:tcPr>
          <w:p w14:paraId="09B185F3"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[Not specified]</w:t>
            </w:r>
          </w:p>
        </w:tc>
        <w:tc>
          <w:tcPr>
            <w:tcW w:w="1701" w:type="dxa"/>
            <w:tcBorders>
              <w:top w:val="nil"/>
              <w:left w:val="nil"/>
              <w:bottom w:val="nil"/>
              <w:right w:val="nil"/>
            </w:tcBorders>
            <w:vAlign w:val="center"/>
          </w:tcPr>
          <w:p w14:paraId="7A6C69A8"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5 years</w:t>
            </w:r>
          </w:p>
        </w:tc>
        <w:tc>
          <w:tcPr>
            <w:tcW w:w="1814" w:type="dxa"/>
            <w:tcBorders>
              <w:top w:val="nil"/>
              <w:left w:val="nil"/>
              <w:bottom w:val="nil"/>
            </w:tcBorders>
            <w:vAlign w:val="center"/>
          </w:tcPr>
          <w:p w14:paraId="2C1E3C95"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Registry linkage</w:t>
            </w:r>
          </w:p>
        </w:tc>
      </w:tr>
      <w:tr w:rsidR="000B62AD" w:rsidRPr="002D088E" w14:paraId="5D78E5F4" w14:textId="77777777" w:rsidTr="007E6C36">
        <w:trPr>
          <w:jc w:val="center"/>
        </w:trPr>
        <w:tc>
          <w:tcPr>
            <w:tcW w:w="1814" w:type="dxa"/>
            <w:tcBorders>
              <w:top w:val="nil"/>
              <w:bottom w:val="nil"/>
              <w:right w:val="nil"/>
            </w:tcBorders>
            <w:vAlign w:val="center"/>
          </w:tcPr>
          <w:p w14:paraId="65A59F52"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Choi 2022 [5]</w:t>
            </w:r>
          </w:p>
        </w:tc>
        <w:tc>
          <w:tcPr>
            <w:tcW w:w="1247" w:type="dxa"/>
            <w:tcBorders>
              <w:top w:val="nil"/>
              <w:left w:val="nil"/>
              <w:bottom w:val="nil"/>
              <w:right w:val="nil"/>
            </w:tcBorders>
            <w:vAlign w:val="center"/>
          </w:tcPr>
          <w:p w14:paraId="1DDDFFF5"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South Korea</w:t>
            </w:r>
          </w:p>
        </w:tc>
        <w:tc>
          <w:tcPr>
            <w:tcW w:w="1644" w:type="dxa"/>
            <w:tcBorders>
              <w:top w:val="nil"/>
              <w:left w:val="nil"/>
              <w:bottom w:val="nil"/>
              <w:right w:val="nil"/>
            </w:tcBorders>
            <w:vAlign w:val="center"/>
          </w:tcPr>
          <w:p w14:paraId="68B11472"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Population cohort</w:t>
            </w:r>
          </w:p>
        </w:tc>
        <w:tc>
          <w:tcPr>
            <w:tcW w:w="1701" w:type="dxa"/>
            <w:tcBorders>
              <w:top w:val="nil"/>
              <w:left w:val="nil"/>
              <w:bottom w:val="nil"/>
              <w:right w:val="nil"/>
            </w:tcBorders>
            <w:vAlign w:val="center"/>
          </w:tcPr>
          <w:p w14:paraId="6C6A4D53"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Post-TB survivors</w:t>
            </w:r>
          </w:p>
        </w:tc>
        <w:tc>
          <w:tcPr>
            <w:tcW w:w="1247" w:type="dxa"/>
            <w:tcBorders>
              <w:top w:val="nil"/>
              <w:left w:val="nil"/>
              <w:bottom w:val="nil"/>
              <w:right w:val="nil"/>
            </w:tcBorders>
            <w:vAlign w:val="center"/>
          </w:tcPr>
          <w:p w14:paraId="45256948"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[Not specified]</w:t>
            </w:r>
          </w:p>
        </w:tc>
        <w:tc>
          <w:tcPr>
            <w:tcW w:w="1701" w:type="dxa"/>
            <w:tcBorders>
              <w:top w:val="nil"/>
              <w:left w:val="nil"/>
              <w:bottom w:val="nil"/>
              <w:right w:val="nil"/>
            </w:tcBorders>
            <w:vAlign w:val="center"/>
          </w:tcPr>
          <w:p w14:paraId="4744BA02"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Long-term</w:t>
            </w:r>
          </w:p>
        </w:tc>
        <w:tc>
          <w:tcPr>
            <w:tcW w:w="1814" w:type="dxa"/>
            <w:tcBorders>
              <w:top w:val="nil"/>
              <w:left w:val="nil"/>
              <w:bottom w:val="nil"/>
            </w:tcBorders>
            <w:vAlign w:val="center"/>
          </w:tcPr>
          <w:p w14:paraId="32A0CA2D"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National registry</w:t>
            </w:r>
          </w:p>
        </w:tc>
      </w:tr>
      <w:tr w:rsidR="000B62AD" w:rsidRPr="002D088E" w14:paraId="4416EF5F" w14:textId="77777777" w:rsidTr="007E6C36">
        <w:trPr>
          <w:jc w:val="center"/>
        </w:trPr>
        <w:tc>
          <w:tcPr>
            <w:tcW w:w="1814" w:type="dxa"/>
            <w:tcBorders>
              <w:top w:val="nil"/>
              <w:bottom w:val="nil"/>
              <w:right w:val="nil"/>
            </w:tcBorders>
            <w:vAlign w:val="center"/>
          </w:tcPr>
          <w:p w14:paraId="021AB808" w14:textId="77777777" w:rsidR="000B62AD" w:rsidRPr="002D088E" w:rsidRDefault="000B62AD" w:rsidP="00B015AF">
            <w:pPr>
              <w:spacing w:before="20" w:after="20"/>
              <w:rPr>
                <w:rFonts w:ascii="Gill Sans MT" w:hAnsi="Gill Sans MT"/>
                <w:sz w:val="22"/>
              </w:rPr>
            </w:pPr>
            <w:proofErr w:type="spellStart"/>
            <w:r w:rsidRPr="002D088E">
              <w:rPr>
                <w:rFonts w:ascii="Gill Sans MT" w:eastAsia="Times New Roman" w:hAnsi="Gill Sans MT" w:cs="Times New Roman"/>
                <w:sz w:val="22"/>
              </w:rPr>
              <w:t>Moosazadeh</w:t>
            </w:r>
            <w:proofErr w:type="spellEnd"/>
            <w:r w:rsidRPr="002D088E">
              <w:rPr>
                <w:rFonts w:ascii="Gill Sans MT" w:eastAsia="Times New Roman" w:hAnsi="Gill Sans MT" w:cs="Times New Roman"/>
                <w:sz w:val="22"/>
              </w:rPr>
              <w:t xml:space="preserve"> 2014 [6]</w:t>
            </w:r>
          </w:p>
        </w:tc>
        <w:tc>
          <w:tcPr>
            <w:tcW w:w="1247" w:type="dxa"/>
            <w:tcBorders>
              <w:top w:val="nil"/>
              <w:left w:val="nil"/>
              <w:bottom w:val="nil"/>
              <w:right w:val="nil"/>
            </w:tcBorders>
            <w:vAlign w:val="center"/>
          </w:tcPr>
          <w:p w14:paraId="5612BE15"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Iran</w:t>
            </w:r>
          </w:p>
        </w:tc>
        <w:tc>
          <w:tcPr>
            <w:tcW w:w="1644" w:type="dxa"/>
            <w:tcBorders>
              <w:top w:val="nil"/>
              <w:left w:val="nil"/>
              <w:bottom w:val="nil"/>
              <w:right w:val="nil"/>
            </w:tcBorders>
            <w:vAlign w:val="center"/>
          </w:tcPr>
          <w:p w14:paraId="281307CB"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Prospective cohort</w:t>
            </w:r>
          </w:p>
        </w:tc>
        <w:tc>
          <w:tcPr>
            <w:tcW w:w="1701" w:type="dxa"/>
            <w:tcBorders>
              <w:top w:val="nil"/>
              <w:left w:val="nil"/>
              <w:bottom w:val="nil"/>
              <w:right w:val="nil"/>
            </w:tcBorders>
            <w:vAlign w:val="center"/>
          </w:tcPr>
          <w:p w14:paraId="7D1ED142"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Smear+ TB survivors</w:t>
            </w:r>
          </w:p>
        </w:tc>
        <w:tc>
          <w:tcPr>
            <w:tcW w:w="1247" w:type="dxa"/>
            <w:tcBorders>
              <w:top w:val="nil"/>
              <w:left w:val="nil"/>
              <w:bottom w:val="nil"/>
              <w:right w:val="nil"/>
            </w:tcBorders>
            <w:vAlign w:val="center"/>
          </w:tcPr>
          <w:p w14:paraId="224EBB01"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964</w:t>
            </w:r>
          </w:p>
        </w:tc>
        <w:tc>
          <w:tcPr>
            <w:tcW w:w="1701" w:type="dxa"/>
            <w:tcBorders>
              <w:top w:val="nil"/>
              <w:left w:val="nil"/>
              <w:bottom w:val="nil"/>
              <w:right w:val="nil"/>
            </w:tcBorders>
            <w:vAlign w:val="center"/>
          </w:tcPr>
          <w:p w14:paraId="4168C9BD"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Median 10.5 years</w:t>
            </w:r>
          </w:p>
        </w:tc>
        <w:tc>
          <w:tcPr>
            <w:tcW w:w="1814" w:type="dxa"/>
            <w:tcBorders>
              <w:top w:val="nil"/>
              <w:left w:val="nil"/>
              <w:bottom w:val="nil"/>
            </w:tcBorders>
            <w:vAlign w:val="center"/>
          </w:tcPr>
          <w:p w14:paraId="6C103039"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Registry follow-up</w:t>
            </w:r>
          </w:p>
        </w:tc>
      </w:tr>
      <w:tr w:rsidR="000B62AD" w:rsidRPr="002D088E" w14:paraId="39619905" w14:textId="77777777" w:rsidTr="007E6C36">
        <w:trPr>
          <w:jc w:val="center"/>
        </w:trPr>
        <w:tc>
          <w:tcPr>
            <w:tcW w:w="1814" w:type="dxa"/>
            <w:tcBorders>
              <w:top w:val="nil"/>
              <w:bottom w:val="nil"/>
              <w:right w:val="nil"/>
            </w:tcBorders>
            <w:vAlign w:val="center"/>
          </w:tcPr>
          <w:p w14:paraId="3EE9E24F" w14:textId="77777777" w:rsidR="000B62AD" w:rsidRPr="002D088E" w:rsidRDefault="000B62AD" w:rsidP="00B015AF">
            <w:pPr>
              <w:spacing w:before="20" w:after="20"/>
              <w:rPr>
                <w:rFonts w:ascii="Gill Sans MT" w:hAnsi="Gill Sans MT"/>
                <w:sz w:val="22"/>
              </w:rPr>
            </w:pPr>
            <w:proofErr w:type="spellStart"/>
            <w:r w:rsidRPr="002D088E">
              <w:rPr>
                <w:rFonts w:ascii="Gill Sans MT" w:eastAsia="Times New Roman" w:hAnsi="Gill Sans MT" w:cs="Times New Roman"/>
                <w:sz w:val="22"/>
              </w:rPr>
              <w:t>Bongomin</w:t>
            </w:r>
            <w:proofErr w:type="spellEnd"/>
            <w:r w:rsidRPr="002D088E">
              <w:rPr>
                <w:rFonts w:ascii="Gill Sans MT" w:eastAsia="Times New Roman" w:hAnsi="Gill Sans MT" w:cs="Times New Roman"/>
                <w:sz w:val="22"/>
              </w:rPr>
              <w:t xml:space="preserve"> 2025 [7]</w:t>
            </w:r>
          </w:p>
        </w:tc>
        <w:tc>
          <w:tcPr>
            <w:tcW w:w="1247" w:type="dxa"/>
            <w:tcBorders>
              <w:top w:val="nil"/>
              <w:left w:val="nil"/>
              <w:bottom w:val="nil"/>
              <w:right w:val="nil"/>
            </w:tcBorders>
            <w:vAlign w:val="center"/>
          </w:tcPr>
          <w:p w14:paraId="2D9BBF86"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Uganda</w:t>
            </w:r>
          </w:p>
        </w:tc>
        <w:tc>
          <w:tcPr>
            <w:tcW w:w="1644" w:type="dxa"/>
            <w:tcBorders>
              <w:top w:val="nil"/>
              <w:left w:val="nil"/>
              <w:bottom w:val="nil"/>
              <w:right w:val="nil"/>
            </w:tcBorders>
            <w:vAlign w:val="center"/>
          </w:tcPr>
          <w:p w14:paraId="4B0F54D1"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Retrospective cohort</w:t>
            </w:r>
          </w:p>
        </w:tc>
        <w:tc>
          <w:tcPr>
            <w:tcW w:w="1701" w:type="dxa"/>
            <w:tcBorders>
              <w:top w:val="nil"/>
              <w:left w:val="nil"/>
              <w:bottom w:val="nil"/>
              <w:right w:val="nil"/>
            </w:tcBorders>
            <w:vAlign w:val="center"/>
          </w:tcPr>
          <w:p w14:paraId="2635A74D"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PTB completers</w:t>
            </w:r>
          </w:p>
        </w:tc>
        <w:tc>
          <w:tcPr>
            <w:tcW w:w="1247" w:type="dxa"/>
            <w:tcBorders>
              <w:top w:val="nil"/>
              <w:left w:val="nil"/>
              <w:bottom w:val="nil"/>
              <w:right w:val="nil"/>
            </w:tcBorders>
            <w:vAlign w:val="center"/>
          </w:tcPr>
          <w:p w14:paraId="735FF27C"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[Not specified]</w:t>
            </w:r>
          </w:p>
        </w:tc>
        <w:tc>
          <w:tcPr>
            <w:tcW w:w="1701" w:type="dxa"/>
            <w:tcBorders>
              <w:top w:val="nil"/>
              <w:left w:val="nil"/>
              <w:bottom w:val="nil"/>
              <w:right w:val="nil"/>
            </w:tcBorders>
            <w:vAlign w:val="center"/>
          </w:tcPr>
          <w:p w14:paraId="42E6841F"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Post-treatment</w:t>
            </w:r>
          </w:p>
        </w:tc>
        <w:tc>
          <w:tcPr>
            <w:tcW w:w="1814" w:type="dxa"/>
            <w:tcBorders>
              <w:top w:val="nil"/>
              <w:left w:val="nil"/>
              <w:bottom w:val="nil"/>
            </w:tcBorders>
            <w:vAlign w:val="center"/>
          </w:tcPr>
          <w:p w14:paraId="20676385"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Hospital records</w:t>
            </w:r>
          </w:p>
        </w:tc>
      </w:tr>
      <w:tr w:rsidR="000B62AD" w:rsidRPr="002D088E" w14:paraId="5A00D57C" w14:textId="77777777" w:rsidTr="007E6C36">
        <w:trPr>
          <w:jc w:val="center"/>
        </w:trPr>
        <w:tc>
          <w:tcPr>
            <w:tcW w:w="1814" w:type="dxa"/>
            <w:tcBorders>
              <w:top w:val="nil"/>
              <w:bottom w:val="nil"/>
              <w:right w:val="nil"/>
            </w:tcBorders>
            <w:vAlign w:val="center"/>
          </w:tcPr>
          <w:p w14:paraId="70381507"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Wang [8]</w:t>
            </w:r>
          </w:p>
        </w:tc>
        <w:tc>
          <w:tcPr>
            <w:tcW w:w="1247" w:type="dxa"/>
            <w:tcBorders>
              <w:top w:val="nil"/>
              <w:left w:val="nil"/>
              <w:bottom w:val="nil"/>
              <w:right w:val="nil"/>
            </w:tcBorders>
            <w:vAlign w:val="center"/>
          </w:tcPr>
          <w:p w14:paraId="328BA0EF"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China</w:t>
            </w:r>
          </w:p>
        </w:tc>
        <w:tc>
          <w:tcPr>
            <w:tcW w:w="1644" w:type="dxa"/>
            <w:tcBorders>
              <w:top w:val="nil"/>
              <w:left w:val="nil"/>
              <w:bottom w:val="nil"/>
              <w:right w:val="nil"/>
            </w:tcBorders>
            <w:vAlign w:val="center"/>
          </w:tcPr>
          <w:p w14:paraId="31A9C02D"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Cohort</w:t>
            </w:r>
          </w:p>
        </w:tc>
        <w:tc>
          <w:tcPr>
            <w:tcW w:w="1701" w:type="dxa"/>
            <w:tcBorders>
              <w:top w:val="nil"/>
              <w:left w:val="nil"/>
              <w:bottom w:val="nil"/>
              <w:right w:val="nil"/>
            </w:tcBorders>
            <w:vAlign w:val="center"/>
          </w:tcPr>
          <w:p w14:paraId="583E3F89"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Post-treatment PTB</w:t>
            </w:r>
          </w:p>
        </w:tc>
        <w:tc>
          <w:tcPr>
            <w:tcW w:w="1247" w:type="dxa"/>
            <w:tcBorders>
              <w:top w:val="nil"/>
              <w:left w:val="nil"/>
              <w:bottom w:val="nil"/>
              <w:right w:val="nil"/>
            </w:tcBorders>
            <w:vAlign w:val="center"/>
          </w:tcPr>
          <w:p w14:paraId="671845A8"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[Not specified]</w:t>
            </w:r>
          </w:p>
        </w:tc>
        <w:tc>
          <w:tcPr>
            <w:tcW w:w="1701" w:type="dxa"/>
            <w:tcBorders>
              <w:top w:val="nil"/>
              <w:left w:val="nil"/>
              <w:bottom w:val="nil"/>
              <w:right w:val="nil"/>
            </w:tcBorders>
            <w:vAlign w:val="center"/>
          </w:tcPr>
          <w:p w14:paraId="29352489"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Post-treatment</w:t>
            </w:r>
          </w:p>
        </w:tc>
        <w:tc>
          <w:tcPr>
            <w:tcW w:w="1814" w:type="dxa"/>
            <w:tcBorders>
              <w:top w:val="nil"/>
              <w:left w:val="nil"/>
              <w:bottom w:val="nil"/>
            </w:tcBorders>
            <w:vAlign w:val="center"/>
          </w:tcPr>
          <w:p w14:paraId="76C761D3"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Registry</w:t>
            </w:r>
          </w:p>
        </w:tc>
      </w:tr>
      <w:tr w:rsidR="000B62AD" w:rsidRPr="002D088E" w14:paraId="04BD6070" w14:textId="77777777" w:rsidTr="007E6C36">
        <w:trPr>
          <w:jc w:val="center"/>
        </w:trPr>
        <w:tc>
          <w:tcPr>
            <w:tcW w:w="1814" w:type="dxa"/>
            <w:tcBorders>
              <w:top w:val="nil"/>
              <w:bottom w:val="nil"/>
              <w:right w:val="nil"/>
            </w:tcBorders>
            <w:vAlign w:val="center"/>
          </w:tcPr>
          <w:p w14:paraId="6D0ADD5F"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Yeo [9]</w:t>
            </w:r>
          </w:p>
        </w:tc>
        <w:tc>
          <w:tcPr>
            <w:tcW w:w="1247" w:type="dxa"/>
            <w:tcBorders>
              <w:top w:val="nil"/>
              <w:left w:val="nil"/>
              <w:bottom w:val="nil"/>
              <w:right w:val="nil"/>
            </w:tcBorders>
            <w:vAlign w:val="center"/>
          </w:tcPr>
          <w:p w14:paraId="54DB71DB"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South Korea</w:t>
            </w:r>
          </w:p>
        </w:tc>
        <w:tc>
          <w:tcPr>
            <w:tcW w:w="1644" w:type="dxa"/>
            <w:tcBorders>
              <w:top w:val="nil"/>
              <w:left w:val="nil"/>
              <w:bottom w:val="nil"/>
              <w:right w:val="nil"/>
            </w:tcBorders>
            <w:vAlign w:val="center"/>
          </w:tcPr>
          <w:p w14:paraId="01ABD194"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Population cohort</w:t>
            </w:r>
          </w:p>
        </w:tc>
        <w:tc>
          <w:tcPr>
            <w:tcW w:w="1701" w:type="dxa"/>
            <w:tcBorders>
              <w:top w:val="nil"/>
              <w:left w:val="nil"/>
              <w:bottom w:val="nil"/>
              <w:right w:val="nil"/>
            </w:tcBorders>
            <w:vAlign w:val="center"/>
          </w:tcPr>
          <w:p w14:paraId="3793C746"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Post-TB patients</w:t>
            </w:r>
          </w:p>
        </w:tc>
        <w:tc>
          <w:tcPr>
            <w:tcW w:w="1247" w:type="dxa"/>
            <w:tcBorders>
              <w:top w:val="nil"/>
              <w:left w:val="nil"/>
              <w:bottom w:val="nil"/>
              <w:right w:val="nil"/>
            </w:tcBorders>
            <w:vAlign w:val="center"/>
          </w:tcPr>
          <w:p w14:paraId="3B509E3A"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[Not specified]</w:t>
            </w:r>
          </w:p>
        </w:tc>
        <w:tc>
          <w:tcPr>
            <w:tcW w:w="1701" w:type="dxa"/>
            <w:tcBorders>
              <w:top w:val="nil"/>
              <w:left w:val="nil"/>
              <w:bottom w:val="nil"/>
              <w:right w:val="nil"/>
            </w:tcBorders>
            <w:vAlign w:val="center"/>
          </w:tcPr>
          <w:p w14:paraId="1ED2E0BA"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Long-term</w:t>
            </w:r>
          </w:p>
        </w:tc>
        <w:tc>
          <w:tcPr>
            <w:tcW w:w="1814" w:type="dxa"/>
            <w:tcBorders>
              <w:top w:val="nil"/>
              <w:left w:val="nil"/>
              <w:bottom w:val="nil"/>
            </w:tcBorders>
            <w:vAlign w:val="center"/>
          </w:tcPr>
          <w:p w14:paraId="1B040841"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National database</w:t>
            </w:r>
          </w:p>
        </w:tc>
      </w:tr>
      <w:tr w:rsidR="000B62AD" w:rsidRPr="002D088E" w14:paraId="10E1465B" w14:textId="77777777" w:rsidTr="007E6C36">
        <w:trPr>
          <w:jc w:val="center"/>
        </w:trPr>
        <w:tc>
          <w:tcPr>
            <w:tcW w:w="1814" w:type="dxa"/>
            <w:tcBorders>
              <w:top w:val="nil"/>
              <w:bottom w:val="nil"/>
              <w:right w:val="nil"/>
            </w:tcBorders>
            <w:vAlign w:val="center"/>
          </w:tcPr>
          <w:p w14:paraId="70294C5A"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Kim 2026 [11]</w:t>
            </w:r>
          </w:p>
        </w:tc>
        <w:tc>
          <w:tcPr>
            <w:tcW w:w="1247" w:type="dxa"/>
            <w:tcBorders>
              <w:top w:val="nil"/>
              <w:left w:val="nil"/>
              <w:bottom w:val="nil"/>
              <w:right w:val="nil"/>
            </w:tcBorders>
            <w:vAlign w:val="center"/>
          </w:tcPr>
          <w:p w14:paraId="7B630437"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Brazil</w:t>
            </w:r>
          </w:p>
        </w:tc>
        <w:tc>
          <w:tcPr>
            <w:tcW w:w="1644" w:type="dxa"/>
            <w:tcBorders>
              <w:top w:val="nil"/>
              <w:left w:val="nil"/>
              <w:bottom w:val="nil"/>
              <w:right w:val="nil"/>
            </w:tcBorders>
            <w:vAlign w:val="center"/>
          </w:tcPr>
          <w:p w14:paraId="20A5A4FF"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Retrospective cohort</w:t>
            </w:r>
          </w:p>
        </w:tc>
        <w:tc>
          <w:tcPr>
            <w:tcW w:w="1701" w:type="dxa"/>
            <w:tcBorders>
              <w:top w:val="nil"/>
              <w:left w:val="nil"/>
              <w:bottom w:val="nil"/>
              <w:right w:val="nil"/>
            </w:tcBorders>
            <w:vAlign w:val="center"/>
          </w:tcPr>
          <w:p w14:paraId="0DB79D96"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TB diagnosed patients</w:t>
            </w:r>
          </w:p>
        </w:tc>
        <w:tc>
          <w:tcPr>
            <w:tcW w:w="1247" w:type="dxa"/>
            <w:tcBorders>
              <w:top w:val="nil"/>
              <w:left w:val="nil"/>
              <w:bottom w:val="nil"/>
              <w:right w:val="nil"/>
            </w:tcBorders>
            <w:vAlign w:val="center"/>
          </w:tcPr>
          <w:p w14:paraId="582539E4"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[Not specified]</w:t>
            </w:r>
          </w:p>
        </w:tc>
        <w:tc>
          <w:tcPr>
            <w:tcW w:w="1701" w:type="dxa"/>
            <w:tcBorders>
              <w:top w:val="nil"/>
              <w:left w:val="nil"/>
              <w:bottom w:val="nil"/>
              <w:right w:val="nil"/>
            </w:tcBorders>
            <w:vAlign w:val="center"/>
          </w:tcPr>
          <w:p w14:paraId="272AB4B9"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Long-term</w:t>
            </w:r>
          </w:p>
        </w:tc>
        <w:tc>
          <w:tcPr>
            <w:tcW w:w="1814" w:type="dxa"/>
            <w:tcBorders>
              <w:top w:val="nil"/>
              <w:left w:val="nil"/>
              <w:bottom w:val="nil"/>
            </w:tcBorders>
            <w:vAlign w:val="center"/>
          </w:tcPr>
          <w:p w14:paraId="2C63EF54"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Vital statistics</w:t>
            </w:r>
          </w:p>
        </w:tc>
      </w:tr>
      <w:tr w:rsidR="000B62AD" w:rsidRPr="002D088E" w14:paraId="5DFE20C5" w14:textId="77777777" w:rsidTr="007E6C36">
        <w:trPr>
          <w:jc w:val="center"/>
        </w:trPr>
        <w:tc>
          <w:tcPr>
            <w:tcW w:w="1814" w:type="dxa"/>
            <w:tcBorders>
              <w:top w:val="nil"/>
              <w:bottom w:val="nil"/>
              <w:right w:val="nil"/>
            </w:tcBorders>
            <w:vAlign w:val="center"/>
          </w:tcPr>
          <w:p w14:paraId="2D54C68F" w14:textId="77777777" w:rsidR="000B62AD" w:rsidRPr="002D088E" w:rsidRDefault="000B62AD" w:rsidP="00B015AF">
            <w:pPr>
              <w:spacing w:before="20" w:after="20"/>
              <w:rPr>
                <w:rFonts w:ascii="Gill Sans MT" w:hAnsi="Gill Sans MT"/>
                <w:sz w:val="22"/>
              </w:rPr>
            </w:pPr>
            <w:proofErr w:type="spellStart"/>
            <w:r w:rsidRPr="002D088E">
              <w:rPr>
                <w:rFonts w:ascii="Gill Sans MT" w:eastAsia="Times New Roman" w:hAnsi="Gill Sans MT" w:cs="Times New Roman"/>
                <w:sz w:val="22"/>
              </w:rPr>
              <w:t>Cerqueira</w:t>
            </w:r>
            <w:proofErr w:type="spellEnd"/>
            <w:r w:rsidRPr="002D088E">
              <w:rPr>
                <w:rFonts w:ascii="Gill Sans MT" w:eastAsia="Times New Roman" w:hAnsi="Gill Sans MT" w:cs="Times New Roman"/>
                <w:sz w:val="22"/>
              </w:rPr>
              <w:t>-Silva [12]</w:t>
            </w:r>
          </w:p>
        </w:tc>
        <w:tc>
          <w:tcPr>
            <w:tcW w:w="1247" w:type="dxa"/>
            <w:tcBorders>
              <w:top w:val="nil"/>
              <w:left w:val="nil"/>
              <w:bottom w:val="nil"/>
              <w:right w:val="nil"/>
            </w:tcBorders>
            <w:vAlign w:val="center"/>
          </w:tcPr>
          <w:p w14:paraId="285229F4"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Brazil</w:t>
            </w:r>
          </w:p>
        </w:tc>
        <w:tc>
          <w:tcPr>
            <w:tcW w:w="1644" w:type="dxa"/>
            <w:tcBorders>
              <w:top w:val="nil"/>
              <w:left w:val="nil"/>
              <w:bottom w:val="nil"/>
              <w:right w:val="nil"/>
            </w:tcBorders>
            <w:vAlign w:val="center"/>
          </w:tcPr>
          <w:p w14:paraId="73202C7C"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Cohort</w:t>
            </w:r>
          </w:p>
        </w:tc>
        <w:tc>
          <w:tcPr>
            <w:tcW w:w="1701" w:type="dxa"/>
            <w:tcBorders>
              <w:top w:val="nil"/>
              <w:left w:val="nil"/>
              <w:bottom w:val="nil"/>
              <w:right w:val="nil"/>
            </w:tcBorders>
            <w:vAlign w:val="center"/>
          </w:tcPr>
          <w:p w14:paraId="34578FC0"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TB treatment patients</w:t>
            </w:r>
          </w:p>
        </w:tc>
        <w:tc>
          <w:tcPr>
            <w:tcW w:w="1247" w:type="dxa"/>
            <w:tcBorders>
              <w:top w:val="nil"/>
              <w:left w:val="nil"/>
              <w:bottom w:val="nil"/>
              <w:right w:val="nil"/>
            </w:tcBorders>
            <w:vAlign w:val="center"/>
          </w:tcPr>
          <w:p w14:paraId="1E329896"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[Not specified]</w:t>
            </w:r>
          </w:p>
        </w:tc>
        <w:tc>
          <w:tcPr>
            <w:tcW w:w="1701" w:type="dxa"/>
            <w:tcBorders>
              <w:top w:val="nil"/>
              <w:left w:val="nil"/>
              <w:bottom w:val="nil"/>
              <w:right w:val="nil"/>
            </w:tcBorders>
            <w:vAlign w:val="center"/>
          </w:tcPr>
          <w:p w14:paraId="1614722F"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Long-term</w:t>
            </w:r>
          </w:p>
        </w:tc>
        <w:tc>
          <w:tcPr>
            <w:tcW w:w="1814" w:type="dxa"/>
            <w:tcBorders>
              <w:top w:val="nil"/>
              <w:left w:val="nil"/>
              <w:bottom w:val="nil"/>
            </w:tcBorders>
            <w:vAlign w:val="center"/>
          </w:tcPr>
          <w:p w14:paraId="296D37B0"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Death registry</w:t>
            </w:r>
          </w:p>
        </w:tc>
      </w:tr>
      <w:tr w:rsidR="000B62AD" w:rsidRPr="002D088E" w14:paraId="2189B75F" w14:textId="77777777" w:rsidTr="007E6C36">
        <w:trPr>
          <w:jc w:val="center"/>
        </w:trPr>
        <w:tc>
          <w:tcPr>
            <w:tcW w:w="1814" w:type="dxa"/>
            <w:tcBorders>
              <w:top w:val="nil"/>
              <w:bottom w:val="nil"/>
              <w:right w:val="nil"/>
            </w:tcBorders>
            <w:vAlign w:val="center"/>
          </w:tcPr>
          <w:p w14:paraId="793C0A7E" w14:textId="77777777" w:rsidR="000B62AD" w:rsidRPr="002D088E" w:rsidRDefault="000B62AD" w:rsidP="00B015AF">
            <w:pPr>
              <w:spacing w:before="20" w:after="20"/>
              <w:rPr>
                <w:rFonts w:ascii="Gill Sans MT" w:hAnsi="Gill Sans MT"/>
                <w:sz w:val="22"/>
              </w:rPr>
            </w:pPr>
            <w:proofErr w:type="spellStart"/>
            <w:r w:rsidRPr="002D088E">
              <w:rPr>
                <w:rFonts w:ascii="Gill Sans MT" w:eastAsia="Times New Roman" w:hAnsi="Gill Sans MT" w:cs="Times New Roman"/>
                <w:sz w:val="22"/>
              </w:rPr>
              <w:t>Salindri</w:t>
            </w:r>
            <w:proofErr w:type="spellEnd"/>
            <w:r w:rsidRPr="002D088E">
              <w:rPr>
                <w:rFonts w:ascii="Gill Sans MT" w:eastAsia="Times New Roman" w:hAnsi="Gill Sans MT" w:cs="Times New Roman"/>
                <w:sz w:val="22"/>
              </w:rPr>
              <w:t xml:space="preserve"> 2024 [14]</w:t>
            </w:r>
          </w:p>
        </w:tc>
        <w:tc>
          <w:tcPr>
            <w:tcW w:w="1247" w:type="dxa"/>
            <w:tcBorders>
              <w:top w:val="nil"/>
              <w:left w:val="nil"/>
              <w:bottom w:val="nil"/>
              <w:right w:val="nil"/>
            </w:tcBorders>
            <w:vAlign w:val="center"/>
          </w:tcPr>
          <w:p w14:paraId="0F6B7751"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Georgia</w:t>
            </w:r>
          </w:p>
        </w:tc>
        <w:tc>
          <w:tcPr>
            <w:tcW w:w="1644" w:type="dxa"/>
            <w:tcBorders>
              <w:top w:val="nil"/>
              <w:left w:val="nil"/>
              <w:bottom w:val="nil"/>
              <w:right w:val="nil"/>
            </w:tcBorders>
            <w:vAlign w:val="center"/>
          </w:tcPr>
          <w:p w14:paraId="28CD1580"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Retrospective cohort</w:t>
            </w:r>
          </w:p>
        </w:tc>
        <w:tc>
          <w:tcPr>
            <w:tcW w:w="1701" w:type="dxa"/>
            <w:tcBorders>
              <w:top w:val="nil"/>
              <w:left w:val="nil"/>
              <w:bottom w:val="nil"/>
              <w:right w:val="nil"/>
            </w:tcBorders>
            <w:vAlign w:val="center"/>
          </w:tcPr>
          <w:p w14:paraId="5EBE9661"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RR/MDR-TB patients</w:t>
            </w:r>
          </w:p>
        </w:tc>
        <w:tc>
          <w:tcPr>
            <w:tcW w:w="1247" w:type="dxa"/>
            <w:tcBorders>
              <w:top w:val="nil"/>
              <w:left w:val="nil"/>
              <w:bottom w:val="nil"/>
              <w:right w:val="nil"/>
            </w:tcBorders>
            <w:vAlign w:val="center"/>
          </w:tcPr>
          <w:p w14:paraId="509C00FF"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1,032</w:t>
            </w:r>
          </w:p>
        </w:tc>
        <w:tc>
          <w:tcPr>
            <w:tcW w:w="1701" w:type="dxa"/>
            <w:tcBorders>
              <w:top w:val="nil"/>
              <w:left w:val="nil"/>
              <w:bottom w:val="nil"/>
              <w:right w:val="nil"/>
            </w:tcBorders>
            <w:vAlign w:val="center"/>
          </w:tcPr>
          <w:p w14:paraId="0BDF16D9"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Median 21 months</w:t>
            </w:r>
          </w:p>
        </w:tc>
        <w:tc>
          <w:tcPr>
            <w:tcW w:w="1814" w:type="dxa"/>
            <w:tcBorders>
              <w:top w:val="nil"/>
              <w:left w:val="nil"/>
              <w:bottom w:val="nil"/>
            </w:tcBorders>
            <w:vAlign w:val="center"/>
          </w:tcPr>
          <w:p w14:paraId="087C3F01"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Death registry</w:t>
            </w:r>
          </w:p>
        </w:tc>
      </w:tr>
      <w:tr w:rsidR="000B62AD" w:rsidRPr="002D088E" w14:paraId="72DD576B" w14:textId="77777777" w:rsidTr="007E6C36">
        <w:trPr>
          <w:jc w:val="center"/>
        </w:trPr>
        <w:tc>
          <w:tcPr>
            <w:tcW w:w="1814" w:type="dxa"/>
            <w:tcBorders>
              <w:top w:val="nil"/>
              <w:bottom w:val="nil"/>
              <w:right w:val="nil"/>
            </w:tcBorders>
            <w:vAlign w:val="center"/>
          </w:tcPr>
          <w:p w14:paraId="3B4C7F38" w14:textId="77777777" w:rsidR="000B62AD" w:rsidRPr="002D088E" w:rsidRDefault="000B62AD" w:rsidP="00B015AF">
            <w:pPr>
              <w:spacing w:before="20" w:after="20"/>
              <w:rPr>
                <w:rFonts w:ascii="Gill Sans MT" w:hAnsi="Gill Sans MT"/>
                <w:sz w:val="22"/>
              </w:rPr>
            </w:pPr>
            <w:proofErr w:type="spellStart"/>
            <w:r w:rsidRPr="002D088E">
              <w:rPr>
                <w:rFonts w:ascii="Gill Sans MT" w:eastAsia="Times New Roman" w:hAnsi="Gill Sans MT" w:cs="Times New Roman"/>
                <w:sz w:val="22"/>
              </w:rPr>
              <w:t>Gorvetzian</w:t>
            </w:r>
            <w:proofErr w:type="spellEnd"/>
            <w:r w:rsidRPr="002D088E">
              <w:rPr>
                <w:rFonts w:ascii="Gill Sans MT" w:eastAsia="Times New Roman" w:hAnsi="Gill Sans MT" w:cs="Times New Roman"/>
                <w:sz w:val="22"/>
              </w:rPr>
              <w:t xml:space="preserve"> 2023 [15]</w:t>
            </w:r>
          </w:p>
        </w:tc>
        <w:tc>
          <w:tcPr>
            <w:tcW w:w="1247" w:type="dxa"/>
            <w:tcBorders>
              <w:top w:val="nil"/>
              <w:left w:val="nil"/>
              <w:bottom w:val="nil"/>
              <w:right w:val="nil"/>
            </w:tcBorders>
            <w:vAlign w:val="center"/>
          </w:tcPr>
          <w:p w14:paraId="00B95AAB"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Georgia (USA)</w:t>
            </w:r>
          </w:p>
        </w:tc>
        <w:tc>
          <w:tcPr>
            <w:tcW w:w="1644" w:type="dxa"/>
            <w:tcBorders>
              <w:top w:val="nil"/>
              <w:left w:val="nil"/>
              <w:bottom w:val="nil"/>
              <w:right w:val="nil"/>
            </w:tcBorders>
            <w:vAlign w:val="center"/>
          </w:tcPr>
          <w:p w14:paraId="61D804FF"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Cohort</w:t>
            </w:r>
          </w:p>
        </w:tc>
        <w:tc>
          <w:tcPr>
            <w:tcW w:w="1701" w:type="dxa"/>
            <w:tcBorders>
              <w:top w:val="nil"/>
              <w:left w:val="nil"/>
              <w:bottom w:val="nil"/>
              <w:right w:val="nil"/>
            </w:tcBorders>
            <w:vAlign w:val="center"/>
          </w:tcPr>
          <w:p w14:paraId="3744914A"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TB treatment completers</w:t>
            </w:r>
          </w:p>
        </w:tc>
        <w:tc>
          <w:tcPr>
            <w:tcW w:w="1247" w:type="dxa"/>
            <w:tcBorders>
              <w:top w:val="nil"/>
              <w:left w:val="nil"/>
              <w:bottom w:val="nil"/>
              <w:right w:val="nil"/>
            </w:tcBorders>
            <w:vAlign w:val="center"/>
          </w:tcPr>
          <w:p w14:paraId="5C86A357"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[Not specified]</w:t>
            </w:r>
          </w:p>
        </w:tc>
        <w:tc>
          <w:tcPr>
            <w:tcW w:w="1701" w:type="dxa"/>
            <w:tcBorders>
              <w:top w:val="nil"/>
              <w:left w:val="nil"/>
              <w:bottom w:val="nil"/>
              <w:right w:val="nil"/>
            </w:tcBorders>
            <w:vAlign w:val="center"/>
          </w:tcPr>
          <w:p w14:paraId="34352A2E"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2009–2018</w:t>
            </w:r>
          </w:p>
        </w:tc>
        <w:tc>
          <w:tcPr>
            <w:tcW w:w="1814" w:type="dxa"/>
            <w:tcBorders>
              <w:top w:val="nil"/>
              <w:left w:val="nil"/>
              <w:bottom w:val="nil"/>
            </w:tcBorders>
            <w:vAlign w:val="center"/>
          </w:tcPr>
          <w:p w14:paraId="769FFDED"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Death index</w:t>
            </w:r>
          </w:p>
        </w:tc>
      </w:tr>
      <w:tr w:rsidR="000B62AD" w:rsidRPr="002D088E" w14:paraId="51C51A2A" w14:textId="77777777" w:rsidTr="007E6C36">
        <w:trPr>
          <w:jc w:val="center"/>
        </w:trPr>
        <w:tc>
          <w:tcPr>
            <w:tcW w:w="1814" w:type="dxa"/>
            <w:tcBorders>
              <w:top w:val="nil"/>
              <w:bottom w:val="nil"/>
              <w:right w:val="nil"/>
            </w:tcBorders>
            <w:vAlign w:val="center"/>
          </w:tcPr>
          <w:p w14:paraId="306F9A7C"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Greenwood 2025 [16]</w:t>
            </w:r>
          </w:p>
        </w:tc>
        <w:tc>
          <w:tcPr>
            <w:tcW w:w="1247" w:type="dxa"/>
            <w:tcBorders>
              <w:top w:val="nil"/>
              <w:left w:val="nil"/>
              <w:bottom w:val="nil"/>
              <w:right w:val="nil"/>
            </w:tcBorders>
            <w:vAlign w:val="center"/>
          </w:tcPr>
          <w:p w14:paraId="44864F34"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Sierra Leone</w:t>
            </w:r>
          </w:p>
        </w:tc>
        <w:tc>
          <w:tcPr>
            <w:tcW w:w="1644" w:type="dxa"/>
            <w:tcBorders>
              <w:top w:val="nil"/>
              <w:left w:val="nil"/>
              <w:bottom w:val="nil"/>
              <w:right w:val="nil"/>
            </w:tcBorders>
            <w:vAlign w:val="center"/>
          </w:tcPr>
          <w:p w14:paraId="6F9954A8"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Prospective cohort</w:t>
            </w:r>
          </w:p>
        </w:tc>
        <w:tc>
          <w:tcPr>
            <w:tcW w:w="1701" w:type="dxa"/>
            <w:tcBorders>
              <w:top w:val="nil"/>
              <w:left w:val="nil"/>
              <w:bottom w:val="nil"/>
              <w:right w:val="nil"/>
            </w:tcBorders>
            <w:vAlign w:val="center"/>
          </w:tcPr>
          <w:p w14:paraId="685197E8"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DR-TB patients</w:t>
            </w:r>
          </w:p>
        </w:tc>
        <w:tc>
          <w:tcPr>
            <w:tcW w:w="1247" w:type="dxa"/>
            <w:tcBorders>
              <w:top w:val="nil"/>
              <w:left w:val="nil"/>
              <w:bottom w:val="nil"/>
              <w:right w:val="nil"/>
            </w:tcBorders>
            <w:vAlign w:val="center"/>
          </w:tcPr>
          <w:p w14:paraId="1D3D8842"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[Not specified]</w:t>
            </w:r>
          </w:p>
        </w:tc>
        <w:tc>
          <w:tcPr>
            <w:tcW w:w="1701" w:type="dxa"/>
            <w:tcBorders>
              <w:top w:val="nil"/>
              <w:left w:val="nil"/>
              <w:bottom w:val="nil"/>
              <w:right w:val="nil"/>
            </w:tcBorders>
            <w:vAlign w:val="center"/>
          </w:tcPr>
          <w:p w14:paraId="5CA111CF"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Post-treatment</w:t>
            </w:r>
          </w:p>
        </w:tc>
        <w:tc>
          <w:tcPr>
            <w:tcW w:w="1814" w:type="dxa"/>
            <w:tcBorders>
              <w:top w:val="nil"/>
              <w:left w:val="nil"/>
              <w:bottom w:val="nil"/>
            </w:tcBorders>
            <w:vAlign w:val="center"/>
          </w:tcPr>
          <w:p w14:paraId="2A351721"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National surveillance</w:t>
            </w:r>
          </w:p>
        </w:tc>
      </w:tr>
      <w:tr w:rsidR="000B62AD" w:rsidRPr="002D088E" w14:paraId="3871C5D0" w14:textId="77777777" w:rsidTr="007E6C36">
        <w:trPr>
          <w:jc w:val="center"/>
        </w:trPr>
        <w:tc>
          <w:tcPr>
            <w:tcW w:w="1814" w:type="dxa"/>
            <w:tcBorders>
              <w:top w:val="nil"/>
              <w:bottom w:val="nil"/>
              <w:right w:val="nil"/>
            </w:tcBorders>
            <w:vAlign w:val="center"/>
          </w:tcPr>
          <w:p w14:paraId="11899A8C"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Osman 2019 [17]</w:t>
            </w:r>
          </w:p>
        </w:tc>
        <w:tc>
          <w:tcPr>
            <w:tcW w:w="1247" w:type="dxa"/>
            <w:tcBorders>
              <w:top w:val="nil"/>
              <w:left w:val="nil"/>
              <w:bottom w:val="nil"/>
              <w:right w:val="nil"/>
            </w:tcBorders>
            <w:vAlign w:val="center"/>
          </w:tcPr>
          <w:p w14:paraId="66FAA5CE"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South Africa</w:t>
            </w:r>
          </w:p>
        </w:tc>
        <w:tc>
          <w:tcPr>
            <w:tcW w:w="1644" w:type="dxa"/>
            <w:tcBorders>
              <w:top w:val="nil"/>
              <w:left w:val="nil"/>
              <w:bottom w:val="nil"/>
              <w:right w:val="nil"/>
            </w:tcBorders>
            <w:vAlign w:val="center"/>
          </w:tcPr>
          <w:p w14:paraId="38B7AB79"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Pilot cohort</w:t>
            </w:r>
          </w:p>
        </w:tc>
        <w:tc>
          <w:tcPr>
            <w:tcW w:w="1701" w:type="dxa"/>
            <w:tcBorders>
              <w:top w:val="nil"/>
              <w:left w:val="nil"/>
              <w:bottom w:val="nil"/>
              <w:right w:val="nil"/>
            </w:tcBorders>
            <w:vAlign w:val="center"/>
          </w:tcPr>
          <w:p w14:paraId="793A206A"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TB treatment completers</w:t>
            </w:r>
          </w:p>
        </w:tc>
        <w:tc>
          <w:tcPr>
            <w:tcW w:w="1247" w:type="dxa"/>
            <w:tcBorders>
              <w:top w:val="nil"/>
              <w:left w:val="nil"/>
              <w:bottom w:val="nil"/>
              <w:right w:val="nil"/>
            </w:tcBorders>
            <w:vAlign w:val="center"/>
          </w:tcPr>
          <w:p w14:paraId="45FA6C15"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[Not specified]</w:t>
            </w:r>
          </w:p>
        </w:tc>
        <w:tc>
          <w:tcPr>
            <w:tcW w:w="1701" w:type="dxa"/>
            <w:tcBorders>
              <w:top w:val="nil"/>
              <w:left w:val="nil"/>
              <w:bottom w:val="nil"/>
              <w:right w:val="nil"/>
            </w:tcBorders>
            <w:vAlign w:val="center"/>
          </w:tcPr>
          <w:p w14:paraId="331138EC"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5 years</w:t>
            </w:r>
          </w:p>
        </w:tc>
        <w:tc>
          <w:tcPr>
            <w:tcW w:w="1814" w:type="dxa"/>
            <w:tcBorders>
              <w:top w:val="nil"/>
              <w:left w:val="nil"/>
              <w:bottom w:val="nil"/>
            </w:tcBorders>
            <w:vAlign w:val="center"/>
          </w:tcPr>
          <w:p w14:paraId="36C180AA"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Active follow-up</w:t>
            </w:r>
          </w:p>
        </w:tc>
      </w:tr>
      <w:tr w:rsidR="000B62AD" w:rsidRPr="002D088E" w14:paraId="54FC07C1" w14:textId="77777777" w:rsidTr="007E6C36">
        <w:trPr>
          <w:jc w:val="center"/>
        </w:trPr>
        <w:tc>
          <w:tcPr>
            <w:tcW w:w="1814" w:type="dxa"/>
            <w:tcBorders>
              <w:top w:val="nil"/>
              <w:bottom w:val="nil"/>
              <w:right w:val="nil"/>
            </w:tcBorders>
            <w:vAlign w:val="center"/>
          </w:tcPr>
          <w:p w14:paraId="7FBE7E0C"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MacLean 2026 [18]</w:t>
            </w:r>
          </w:p>
        </w:tc>
        <w:tc>
          <w:tcPr>
            <w:tcW w:w="1247" w:type="dxa"/>
            <w:tcBorders>
              <w:top w:val="nil"/>
              <w:left w:val="nil"/>
              <w:bottom w:val="nil"/>
              <w:right w:val="nil"/>
            </w:tcBorders>
            <w:vAlign w:val="center"/>
          </w:tcPr>
          <w:p w14:paraId="49F6891F"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Vietnam</w:t>
            </w:r>
          </w:p>
        </w:tc>
        <w:tc>
          <w:tcPr>
            <w:tcW w:w="1644" w:type="dxa"/>
            <w:tcBorders>
              <w:top w:val="nil"/>
              <w:left w:val="nil"/>
              <w:bottom w:val="nil"/>
              <w:right w:val="nil"/>
            </w:tcBorders>
            <w:vAlign w:val="center"/>
          </w:tcPr>
          <w:p w14:paraId="11F7405C"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Prospective cohort</w:t>
            </w:r>
          </w:p>
        </w:tc>
        <w:tc>
          <w:tcPr>
            <w:tcW w:w="1701" w:type="dxa"/>
            <w:tcBorders>
              <w:top w:val="nil"/>
              <w:left w:val="nil"/>
              <w:bottom w:val="nil"/>
              <w:right w:val="nil"/>
            </w:tcBorders>
            <w:vAlign w:val="center"/>
          </w:tcPr>
          <w:p w14:paraId="556CB195"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MDR-TB patients</w:t>
            </w:r>
          </w:p>
        </w:tc>
        <w:tc>
          <w:tcPr>
            <w:tcW w:w="1247" w:type="dxa"/>
            <w:tcBorders>
              <w:top w:val="nil"/>
              <w:left w:val="nil"/>
              <w:bottom w:val="nil"/>
              <w:right w:val="nil"/>
            </w:tcBorders>
            <w:vAlign w:val="center"/>
          </w:tcPr>
          <w:p w14:paraId="45E588C1"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[Not specified]</w:t>
            </w:r>
          </w:p>
        </w:tc>
        <w:tc>
          <w:tcPr>
            <w:tcW w:w="1701" w:type="dxa"/>
            <w:tcBorders>
              <w:top w:val="nil"/>
              <w:left w:val="nil"/>
              <w:bottom w:val="nil"/>
              <w:right w:val="nil"/>
            </w:tcBorders>
            <w:vAlign w:val="center"/>
          </w:tcPr>
          <w:p w14:paraId="11BC35F9"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Long-term</w:t>
            </w:r>
          </w:p>
        </w:tc>
        <w:tc>
          <w:tcPr>
            <w:tcW w:w="1814" w:type="dxa"/>
            <w:tcBorders>
              <w:top w:val="nil"/>
              <w:left w:val="nil"/>
              <w:bottom w:val="nil"/>
            </w:tcBorders>
            <w:vAlign w:val="center"/>
          </w:tcPr>
          <w:p w14:paraId="7C6F4D79"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Registry linkage</w:t>
            </w:r>
          </w:p>
        </w:tc>
      </w:tr>
      <w:tr w:rsidR="000B62AD" w:rsidRPr="002D088E" w14:paraId="59C6F392" w14:textId="77777777" w:rsidTr="007E6C36">
        <w:trPr>
          <w:jc w:val="center"/>
        </w:trPr>
        <w:tc>
          <w:tcPr>
            <w:tcW w:w="1814" w:type="dxa"/>
            <w:tcBorders>
              <w:top w:val="nil"/>
              <w:bottom w:val="nil"/>
              <w:right w:val="nil"/>
            </w:tcBorders>
            <w:vAlign w:val="center"/>
          </w:tcPr>
          <w:p w14:paraId="63C2470F"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Choi 2014 [19]</w:t>
            </w:r>
          </w:p>
        </w:tc>
        <w:tc>
          <w:tcPr>
            <w:tcW w:w="1247" w:type="dxa"/>
            <w:tcBorders>
              <w:top w:val="nil"/>
              <w:left w:val="nil"/>
              <w:bottom w:val="nil"/>
              <w:right w:val="nil"/>
            </w:tcBorders>
            <w:vAlign w:val="center"/>
          </w:tcPr>
          <w:p w14:paraId="2F2D0363"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South Korea</w:t>
            </w:r>
          </w:p>
        </w:tc>
        <w:tc>
          <w:tcPr>
            <w:tcW w:w="1644" w:type="dxa"/>
            <w:tcBorders>
              <w:top w:val="nil"/>
              <w:left w:val="nil"/>
              <w:bottom w:val="nil"/>
              <w:right w:val="nil"/>
            </w:tcBorders>
            <w:vAlign w:val="center"/>
          </w:tcPr>
          <w:p w14:paraId="6CE7A6E2"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Prospective cohort</w:t>
            </w:r>
          </w:p>
        </w:tc>
        <w:tc>
          <w:tcPr>
            <w:tcW w:w="1701" w:type="dxa"/>
            <w:tcBorders>
              <w:top w:val="nil"/>
              <w:left w:val="nil"/>
              <w:bottom w:val="nil"/>
              <w:right w:val="nil"/>
            </w:tcBorders>
            <w:vAlign w:val="center"/>
          </w:tcPr>
          <w:p w14:paraId="0DFA159B"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PTB patients</w:t>
            </w:r>
          </w:p>
        </w:tc>
        <w:tc>
          <w:tcPr>
            <w:tcW w:w="1247" w:type="dxa"/>
            <w:tcBorders>
              <w:top w:val="nil"/>
              <w:left w:val="nil"/>
              <w:bottom w:val="nil"/>
              <w:right w:val="nil"/>
            </w:tcBorders>
            <w:vAlign w:val="center"/>
          </w:tcPr>
          <w:p w14:paraId="4E1B8531"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[Not specified]</w:t>
            </w:r>
          </w:p>
        </w:tc>
        <w:tc>
          <w:tcPr>
            <w:tcW w:w="1701" w:type="dxa"/>
            <w:tcBorders>
              <w:top w:val="nil"/>
              <w:left w:val="nil"/>
              <w:bottom w:val="nil"/>
              <w:right w:val="nil"/>
            </w:tcBorders>
            <w:vAlign w:val="center"/>
          </w:tcPr>
          <w:p w14:paraId="10D19740"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2005–2012</w:t>
            </w:r>
          </w:p>
        </w:tc>
        <w:tc>
          <w:tcPr>
            <w:tcW w:w="1814" w:type="dxa"/>
            <w:tcBorders>
              <w:top w:val="nil"/>
              <w:left w:val="nil"/>
              <w:bottom w:val="nil"/>
            </w:tcBorders>
            <w:vAlign w:val="center"/>
          </w:tcPr>
          <w:p w14:paraId="53A41BAF"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National registry</w:t>
            </w:r>
          </w:p>
        </w:tc>
      </w:tr>
      <w:tr w:rsidR="000B62AD" w:rsidRPr="002D088E" w14:paraId="7331720F" w14:textId="77777777" w:rsidTr="007E6C36">
        <w:trPr>
          <w:jc w:val="center"/>
        </w:trPr>
        <w:tc>
          <w:tcPr>
            <w:tcW w:w="1814" w:type="dxa"/>
            <w:tcBorders>
              <w:top w:val="nil"/>
              <w:bottom w:val="nil"/>
              <w:right w:val="nil"/>
            </w:tcBorders>
            <w:vAlign w:val="center"/>
          </w:tcPr>
          <w:p w14:paraId="407B1090" w14:textId="77777777" w:rsidR="000B62AD" w:rsidRPr="002D088E" w:rsidRDefault="000B62AD" w:rsidP="00B015AF">
            <w:pPr>
              <w:spacing w:before="20" w:after="20"/>
              <w:rPr>
                <w:rFonts w:ascii="Gill Sans MT" w:hAnsi="Gill Sans MT"/>
                <w:sz w:val="22"/>
              </w:rPr>
            </w:pPr>
            <w:proofErr w:type="spellStart"/>
            <w:r w:rsidRPr="002D088E">
              <w:rPr>
                <w:rFonts w:ascii="Gill Sans MT" w:eastAsia="Times New Roman" w:hAnsi="Gill Sans MT" w:cs="Times New Roman"/>
                <w:sz w:val="22"/>
              </w:rPr>
              <w:t>Vilanova</w:t>
            </w:r>
            <w:proofErr w:type="spellEnd"/>
            <w:r w:rsidRPr="002D088E">
              <w:rPr>
                <w:rFonts w:ascii="Gill Sans MT" w:eastAsia="Times New Roman" w:hAnsi="Gill Sans MT" w:cs="Times New Roman"/>
                <w:sz w:val="22"/>
              </w:rPr>
              <w:t xml:space="preserve"> 2012 [20]</w:t>
            </w:r>
          </w:p>
        </w:tc>
        <w:tc>
          <w:tcPr>
            <w:tcW w:w="1247" w:type="dxa"/>
            <w:tcBorders>
              <w:top w:val="nil"/>
              <w:left w:val="nil"/>
              <w:bottom w:val="nil"/>
              <w:right w:val="nil"/>
            </w:tcBorders>
            <w:vAlign w:val="center"/>
          </w:tcPr>
          <w:p w14:paraId="4C374D10"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Spain</w:t>
            </w:r>
          </w:p>
        </w:tc>
        <w:tc>
          <w:tcPr>
            <w:tcW w:w="1644" w:type="dxa"/>
            <w:tcBorders>
              <w:top w:val="nil"/>
              <w:left w:val="nil"/>
              <w:bottom w:val="nil"/>
              <w:right w:val="nil"/>
            </w:tcBorders>
            <w:vAlign w:val="center"/>
          </w:tcPr>
          <w:p w14:paraId="0094361C"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Cohort</w:t>
            </w:r>
          </w:p>
        </w:tc>
        <w:tc>
          <w:tcPr>
            <w:tcW w:w="1701" w:type="dxa"/>
            <w:tcBorders>
              <w:top w:val="nil"/>
              <w:left w:val="nil"/>
              <w:bottom w:val="nil"/>
              <w:right w:val="nil"/>
            </w:tcBorders>
            <w:vAlign w:val="center"/>
          </w:tcPr>
          <w:p w14:paraId="50EC74BC"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TB treatment completers</w:t>
            </w:r>
          </w:p>
        </w:tc>
        <w:tc>
          <w:tcPr>
            <w:tcW w:w="1247" w:type="dxa"/>
            <w:tcBorders>
              <w:top w:val="nil"/>
              <w:left w:val="nil"/>
              <w:bottom w:val="nil"/>
              <w:right w:val="nil"/>
            </w:tcBorders>
            <w:vAlign w:val="center"/>
          </w:tcPr>
          <w:p w14:paraId="1A4742B7"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[Not specified]</w:t>
            </w:r>
          </w:p>
        </w:tc>
        <w:tc>
          <w:tcPr>
            <w:tcW w:w="1701" w:type="dxa"/>
            <w:tcBorders>
              <w:top w:val="nil"/>
              <w:left w:val="nil"/>
              <w:bottom w:val="nil"/>
              <w:right w:val="nil"/>
            </w:tcBorders>
            <w:vAlign w:val="center"/>
          </w:tcPr>
          <w:p w14:paraId="3AD7336F"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Post-treatment</w:t>
            </w:r>
          </w:p>
        </w:tc>
        <w:tc>
          <w:tcPr>
            <w:tcW w:w="1814" w:type="dxa"/>
            <w:tcBorders>
              <w:top w:val="nil"/>
              <w:left w:val="nil"/>
              <w:bottom w:val="nil"/>
            </w:tcBorders>
            <w:vAlign w:val="center"/>
          </w:tcPr>
          <w:p w14:paraId="6CDCF1B4"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Registry</w:t>
            </w:r>
          </w:p>
        </w:tc>
      </w:tr>
      <w:tr w:rsidR="000B62AD" w:rsidRPr="002D088E" w14:paraId="0F4F2DF5" w14:textId="77777777" w:rsidTr="007E6C36">
        <w:trPr>
          <w:jc w:val="center"/>
        </w:trPr>
        <w:tc>
          <w:tcPr>
            <w:tcW w:w="1814" w:type="dxa"/>
            <w:tcBorders>
              <w:top w:val="nil"/>
              <w:bottom w:val="nil"/>
              <w:right w:val="nil"/>
            </w:tcBorders>
            <w:vAlign w:val="center"/>
          </w:tcPr>
          <w:p w14:paraId="4AF1AA67" w14:textId="77777777" w:rsidR="000B62AD" w:rsidRPr="002D088E" w:rsidRDefault="000B62AD" w:rsidP="00B015AF">
            <w:pPr>
              <w:spacing w:before="20" w:after="20"/>
              <w:rPr>
                <w:rFonts w:ascii="Gill Sans MT" w:hAnsi="Gill Sans MT"/>
                <w:sz w:val="22"/>
              </w:rPr>
            </w:pPr>
            <w:proofErr w:type="spellStart"/>
            <w:r w:rsidRPr="002D088E">
              <w:rPr>
                <w:rFonts w:ascii="Gill Sans MT" w:eastAsia="Times New Roman" w:hAnsi="Gill Sans MT" w:cs="Times New Roman"/>
                <w:sz w:val="22"/>
              </w:rPr>
              <w:t>Gorvetzian</w:t>
            </w:r>
            <w:proofErr w:type="spellEnd"/>
            <w:r w:rsidRPr="002D088E">
              <w:rPr>
                <w:rFonts w:ascii="Gill Sans MT" w:eastAsia="Times New Roman" w:hAnsi="Gill Sans MT" w:cs="Times New Roman"/>
                <w:sz w:val="22"/>
              </w:rPr>
              <w:t xml:space="preserve"> 2024 [21]</w:t>
            </w:r>
          </w:p>
        </w:tc>
        <w:tc>
          <w:tcPr>
            <w:tcW w:w="1247" w:type="dxa"/>
            <w:tcBorders>
              <w:top w:val="nil"/>
              <w:left w:val="nil"/>
              <w:bottom w:val="nil"/>
              <w:right w:val="nil"/>
            </w:tcBorders>
            <w:vAlign w:val="center"/>
          </w:tcPr>
          <w:p w14:paraId="3422FC1F"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Georgia (USA)</w:t>
            </w:r>
          </w:p>
        </w:tc>
        <w:tc>
          <w:tcPr>
            <w:tcW w:w="1644" w:type="dxa"/>
            <w:tcBorders>
              <w:top w:val="nil"/>
              <w:left w:val="nil"/>
              <w:bottom w:val="nil"/>
              <w:right w:val="nil"/>
            </w:tcBorders>
            <w:vAlign w:val="center"/>
          </w:tcPr>
          <w:p w14:paraId="3D2F0EC6"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Population cohort</w:t>
            </w:r>
          </w:p>
        </w:tc>
        <w:tc>
          <w:tcPr>
            <w:tcW w:w="1701" w:type="dxa"/>
            <w:tcBorders>
              <w:top w:val="nil"/>
              <w:left w:val="nil"/>
              <w:bottom w:val="nil"/>
              <w:right w:val="nil"/>
            </w:tcBorders>
            <w:vAlign w:val="center"/>
          </w:tcPr>
          <w:p w14:paraId="51568FC8"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TB treatment completers</w:t>
            </w:r>
          </w:p>
        </w:tc>
        <w:tc>
          <w:tcPr>
            <w:tcW w:w="1247" w:type="dxa"/>
            <w:tcBorders>
              <w:top w:val="nil"/>
              <w:left w:val="nil"/>
              <w:bottom w:val="nil"/>
              <w:right w:val="nil"/>
            </w:tcBorders>
            <w:vAlign w:val="center"/>
          </w:tcPr>
          <w:p w14:paraId="00D6BAEF"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3,182</w:t>
            </w:r>
          </w:p>
        </w:tc>
        <w:tc>
          <w:tcPr>
            <w:tcW w:w="1701" w:type="dxa"/>
            <w:tcBorders>
              <w:top w:val="nil"/>
              <w:left w:val="nil"/>
              <w:bottom w:val="nil"/>
              <w:right w:val="nil"/>
            </w:tcBorders>
            <w:vAlign w:val="center"/>
          </w:tcPr>
          <w:p w14:paraId="48CE1D0B"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Median 6.4 years</w:t>
            </w:r>
          </w:p>
        </w:tc>
        <w:tc>
          <w:tcPr>
            <w:tcW w:w="1814" w:type="dxa"/>
            <w:tcBorders>
              <w:top w:val="nil"/>
              <w:left w:val="nil"/>
              <w:bottom w:val="nil"/>
            </w:tcBorders>
            <w:vAlign w:val="center"/>
          </w:tcPr>
          <w:p w14:paraId="263D0E02"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Death index linkage</w:t>
            </w:r>
          </w:p>
        </w:tc>
      </w:tr>
      <w:tr w:rsidR="000B62AD" w:rsidRPr="002D088E" w14:paraId="096CAEDB" w14:textId="77777777" w:rsidTr="007E6C36">
        <w:trPr>
          <w:jc w:val="center"/>
        </w:trPr>
        <w:tc>
          <w:tcPr>
            <w:tcW w:w="1814" w:type="dxa"/>
            <w:tcBorders>
              <w:top w:val="nil"/>
              <w:bottom w:val="nil"/>
              <w:right w:val="nil"/>
            </w:tcBorders>
            <w:vAlign w:val="center"/>
          </w:tcPr>
          <w:p w14:paraId="6BA2D190"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Lee-</w:t>
            </w:r>
            <w:r w:rsidRPr="002D088E">
              <w:rPr>
                <w:rFonts w:ascii="Gill Sans MT" w:eastAsia="Times New Roman" w:hAnsi="Gill Sans MT" w:cs="Times New Roman"/>
                <w:sz w:val="22"/>
              </w:rPr>
              <w:lastRenderedPageBreak/>
              <w:t>Rodriguez 2020 [22]</w:t>
            </w:r>
          </w:p>
        </w:tc>
        <w:tc>
          <w:tcPr>
            <w:tcW w:w="1247" w:type="dxa"/>
            <w:tcBorders>
              <w:top w:val="nil"/>
              <w:left w:val="nil"/>
              <w:bottom w:val="nil"/>
              <w:right w:val="nil"/>
            </w:tcBorders>
            <w:vAlign w:val="center"/>
          </w:tcPr>
          <w:p w14:paraId="604E7F0A"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lastRenderedPageBreak/>
              <w:t>USA</w:t>
            </w:r>
          </w:p>
        </w:tc>
        <w:tc>
          <w:tcPr>
            <w:tcW w:w="1644" w:type="dxa"/>
            <w:tcBorders>
              <w:top w:val="nil"/>
              <w:left w:val="nil"/>
              <w:bottom w:val="nil"/>
              <w:right w:val="nil"/>
            </w:tcBorders>
            <w:vAlign w:val="center"/>
          </w:tcPr>
          <w:p w14:paraId="3E6C9B0B"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Cohort</w:t>
            </w:r>
          </w:p>
        </w:tc>
        <w:tc>
          <w:tcPr>
            <w:tcW w:w="1701" w:type="dxa"/>
            <w:tcBorders>
              <w:top w:val="nil"/>
              <w:left w:val="nil"/>
              <w:bottom w:val="nil"/>
              <w:right w:val="nil"/>
            </w:tcBorders>
            <w:vAlign w:val="center"/>
          </w:tcPr>
          <w:p w14:paraId="6784CADD"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 xml:space="preserve">Active TB </w:t>
            </w:r>
            <w:r w:rsidRPr="002D088E">
              <w:rPr>
                <w:rFonts w:ascii="Gill Sans MT" w:eastAsia="Times New Roman" w:hAnsi="Gill Sans MT" w:cs="Times New Roman"/>
                <w:sz w:val="22"/>
              </w:rPr>
              <w:lastRenderedPageBreak/>
              <w:t>patients</w:t>
            </w:r>
          </w:p>
        </w:tc>
        <w:tc>
          <w:tcPr>
            <w:tcW w:w="1247" w:type="dxa"/>
            <w:tcBorders>
              <w:top w:val="nil"/>
              <w:left w:val="nil"/>
              <w:bottom w:val="nil"/>
              <w:right w:val="nil"/>
            </w:tcBorders>
            <w:vAlign w:val="center"/>
          </w:tcPr>
          <w:p w14:paraId="6C676044"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lastRenderedPageBreak/>
              <w:t xml:space="preserve">[Not </w:t>
            </w:r>
            <w:r w:rsidRPr="002D088E">
              <w:rPr>
                <w:rFonts w:ascii="Gill Sans MT" w:eastAsia="Times New Roman" w:hAnsi="Gill Sans MT" w:cs="Times New Roman"/>
                <w:sz w:val="22"/>
              </w:rPr>
              <w:lastRenderedPageBreak/>
              <w:t>specified]</w:t>
            </w:r>
          </w:p>
        </w:tc>
        <w:tc>
          <w:tcPr>
            <w:tcW w:w="1701" w:type="dxa"/>
            <w:tcBorders>
              <w:top w:val="nil"/>
              <w:left w:val="nil"/>
              <w:bottom w:val="nil"/>
              <w:right w:val="nil"/>
            </w:tcBorders>
            <w:vAlign w:val="center"/>
          </w:tcPr>
          <w:p w14:paraId="54E504B1"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lastRenderedPageBreak/>
              <w:t>Post-</w:t>
            </w:r>
            <w:r w:rsidRPr="002D088E">
              <w:rPr>
                <w:rFonts w:ascii="Gill Sans MT" w:eastAsia="Times New Roman" w:hAnsi="Gill Sans MT" w:cs="Times New Roman"/>
                <w:sz w:val="22"/>
              </w:rPr>
              <w:lastRenderedPageBreak/>
              <w:t>diagnosis</w:t>
            </w:r>
          </w:p>
        </w:tc>
        <w:tc>
          <w:tcPr>
            <w:tcW w:w="1814" w:type="dxa"/>
            <w:tcBorders>
              <w:top w:val="nil"/>
              <w:left w:val="nil"/>
              <w:bottom w:val="nil"/>
            </w:tcBorders>
            <w:vAlign w:val="center"/>
          </w:tcPr>
          <w:p w14:paraId="70F1DB08"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lastRenderedPageBreak/>
              <w:t>Vital statistics</w:t>
            </w:r>
          </w:p>
        </w:tc>
      </w:tr>
      <w:tr w:rsidR="000B62AD" w:rsidRPr="002D088E" w14:paraId="1FD11FD7" w14:textId="77777777" w:rsidTr="007E6C36">
        <w:trPr>
          <w:jc w:val="center"/>
        </w:trPr>
        <w:tc>
          <w:tcPr>
            <w:tcW w:w="1814" w:type="dxa"/>
            <w:tcBorders>
              <w:top w:val="nil"/>
              <w:bottom w:val="nil"/>
              <w:right w:val="nil"/>
            </w:tcBorders>
            <w:vAlign w:val="center"/>
          </w:tcPr>
          <w:p w14:paraId="297CBF3B" w14:textId="77777777" w:rsidR="000B62AD" w:rsidRPr="002D088E" w:rsidRDefault="000B62AD" w:rsidP="00B015AF">
            <w:pPr>
              <w:spacing w:before="20" w:after="20"/>
              <w:rPr>
                <w:rFonts w:ascii="Gill Sans MT" w:hAnsi="Gill Sans MT"/>
                <w:sz w:val="22"/>
              </w:rPr>
            </w:pPr>
            <w:proofErr w:type="spellStart"/>
            <w:r w:rsidRPr="002D088E">
              <w:rPr>
                <w:rFonts w:ascii="Gill Sans MT" w:eastAsia="Times New Roman" w:hAnsi="Gill Sans MT" w:cs="Times New Roman"/>
                <w:sz w:val="22"/>
              </w:rPr>
              <w:t>Datiko</w:t>
            </w:r>
            <w:proofErr w:type="spellEnd"/>
            <w:r w:rsidRPr="002D088E">
              <w:rPr>
                <w:rFonts w:ascii="Gill Sans MT" w:eastAsia="Times New Roman" w:hAnsi="Gill Sans MT" w:cs="Times New Roman"/>
                <w:sz w:val="22"/>
              </w:rPr>
              <w:t xml:space="preserve"> 2011 [23]</w:t>
            </w:r>
          </w:p>
        </w:tc>
        <w:tc>
          <w:tcPr>
            <w:tcW w:w="1247" w:type="dxa"/>
            <w:tcBorders>
              <w:top w:val="nil"/>
              <w:left w:val="nil"/>
              <w:bottom w:val="nil"/>
              <w:right w:val="nil"/>
            </w:tcBorders>
            <w:vAlign w:val="center"/>
          </w:tcPr>
          <w:p w14:paraId="31C112B3"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Ethiopia</w:t>
            </w:r>
          </w:p>
        </w:tc>
        <w:tc>
          <w:tcPr>
            <w:tcW w:w="1644" w:type="dxa"/>
            <w:tcBorders>
              <w:top w:val="nil"/>
              <w:left w:val="nil"/>
              <w:bottom w:val="nil"/>
              <w:right w:val="nil"/>
            </w:tcBorders>
            <w:vAlign w:val="center"/>
          </w:tcPr>
          <w:p w14:paraId="56F735D1"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Cohort</w:t>
            </w:r>
          </w:p>
        </w:tc>
        <w:tc>
          <w:tcPr>
            <w:tcW w:w="1701" w:type="dxa"/>
            <w:tcBorders>
              <w:top w:val="nil"/>
              <w:left w:val="nil"/>
              <w:bottom w:val="nil"/>
              <w:right w:val="nil"/>
            </w:tcBorders>
            <w:vAlign w:val="center"/>
          </w:tcPr>
          <w:p w14:paraId="64D87621"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TB control program</w:t>
            </w:r>
          </w:p>
        </w:tc>
        <w:tc>
          <w:tcPr>
            <w:tcW w:w="1247" w:type="dxa"/>
            <w:tcBorders>
              <w:top w:val="nil"/>
              <w:left w:val="nil"/>
              <w:bottom w:val="nil"/>
              <w:right w:val="nil"/>
            </w:tcBorders>
            <w:vAlign w:val="center"/>
          </w:tcPr>
          <w:p w14:paraId="5F38BCB5"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[Not specified]</w:t>
            </w:r>
          </w:p>
        </w:tc>
        <w:tc>
          <w:tcPr>
            <w:tcW w:w="1701" w:type="dxa"/>
            <w:tcBorders>
              <w:top w:val="nil"/>
              <w:left w:val="nil"/>
              <w:bottom w:val="nil"/>
              <w:right w:val="nil"/>
            </w:tcBorders>
            <w:vAlign w:val="center"/>
          </w:tcPr>
          <w:p w14:paraId="1EAC5B1A"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Program period</w:t>
            </w:r>
          </w:p>
        </w:tc>
        <w:tc>
          <w:tcPr>
            <w:tcW w:w="1814" w:type="dxa"/>
            <w:tcBorders>
              <w:top w:val="nil"/>
              <w:left w:val="nil"/>
              <w:bottom w:val="nil"/>
            </w:tcBorders>
            <w:vAlign w:val="center"/>
          </w:tcPr>
          <w:p w14:paraId="552FA4C6"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Community DOTS</w:t>
            </w:r>
          </w:p>
        </w:tc>
      </w:tr>
      <w:tr w:rsidR="000B62AD" w:rsidRPr="002D088E" w14:paraId="642BE704" w14:textId="77777777" w:rsidTr="007E6C36">
        <w:trPr>
          <w:jc w:val="center"/>
        </w:trPr>
        <w:tc>
          <w:tcPr>
            <w:tcW w:w="1814" w:type="dxa"/>
            <w:tcBorders>
              <w:top w:val="nil"/>
              <w:bottom w:val="nil"/>
              <w:right w:val="nil"/>
            </w:tcBorders>
            <w:vAlign w:val="center"/>
          </w:tcPr>
          <w:p w14:paraId="34BF41C4" w14:textId="77777777" w:rsidR="000B62AD" w:rsidRPr="002D088E" w:rsidRDefault="000B62AD" w:rsidP="00B015AF">
            <w:pPr>
              <w:spacing w:before="20" w:after="20"/>
              <w:rPr>
                <w:rFonts w:ascii="Gill Sans MT" w:hAnsi="Gill Sans MT"/>
                <w:sz w:val="22"/>
              </w:rPr>
            </w:pPr>
            <w:proofErr w:type="spellStart"/>
            <w:r w:rsidRPr="002D088E">
              <w:rPr>
                <w:rFonts w:ascii="Gill Sans MT" w:eastAsia="Times New Roman" w:hAnsi="Gill Sans MT" w:cs="Times New Roman"/>
                <w:sz w:val="22"/>
              </w:rPr>
              <w:t>Shuldiner</w:t>
            </w:r>
            <w:proofErr w:type="spellEnd"/>
            <w:r w:rsidRPr="002D088E">
              <w:rPr>
                <w:rFonts w:ascii="Gill Sans MT" w:eastAsia="Times New Roman" w:hAnsi="Gill Sans MT" w:cs="Times New Roman"/>
                <w:sz w:val="22"/>
              </w:rPr>
              <w:t xml:space="preserve"> 2016 [24]</w:t>
            </w:r>
          </w:p>
        </w:tc>
        <w:tc>
          <w:tcPr>
            <w:tcW w:w="1247" w:type="dxa"/>
            <w:tcBorders>
              <w:top w:val="nil"/>
              <w:left w:val="nil"/>
              <w:bottom w:val="nil"/>
              <w:right w:val="nil"/>
            </w:tcBorders>
            <w:vAlign w:val="center"/>
          </w:tcPr>
          <w:p w14:paraId="284ABAB2"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Israel</w:t>
            </w:r>
          </w:p>
        </w:tc>
        <w:tc>
          <w:tcPr>
            <w:tcW w:w="1644" w:type="dxa"/>
            <w:tcBorders>
              <w:top w:val="nil"/>
              <w:left w:val="nil"/>
              <w:bottom w:val="nil"/>
              <w:right w:val="nil"/>
            </w:tcBorders>
            <w:vAlign w:val="center"/>
          </w:tcPr>
          <w:p w14:paraId="55E904DF"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Retrospective cohort</w:t>
            </w:r>
          </w:p>
        </w:tc>
        <w:tc>
          <w:tcPr>
            <w:tcW w:w="1701" w:type="dxa"/>
            <w:tcBorders>
              <w:top w:val="nil"/>
              <w:left w:val="nil"/>
              <w:bottom w:val="nil"/>
              <w:right w:val="nil"/>
            </w:tcBorders>
            <w:vAlign w:val="center"/>
          </w:tcPr>
          <w:p w14:paraId="676CC06B"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Recovered TB cases</w:t>
            </w:r>
          </w:p>
        </w:tc>
        <w:tc>
          <w:tcPr>
            <w:tcW w:w="1247" w:type="dxa"/>
            <w:tcBorders>
              <w:top w:val="nil"/>
              <w:left w:val="nil"/>
              <w:bottom w:val="nil"/>
              <w:right w:val="nil"/>
            </w:tcBorders>
            <w:vAlign w:val="center"/>
          </w:tcPr>
          <w:p w14:paraId="521EA7CE"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18,246 PY</w:t>
            </w:r>
          </w:p>
        </w:tc>
        <w:tc>
          <w:tcPr>
            <w:tcW w:w="1701" w:type="dxa"/>
            <w:tcBorders>
              <w:top w:val="nil"/>
              <w:left w:val="nil"/>
              <w:bottom w:val="nil"/>
              <w:right w:val="nil"/>
            </w:tcBorders>
            <w:vAlign w:val="center"/>
          </w:tcPr>
          <w:p w14:paraId="7D1868FE"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Up to 11 years</w:t>
            </w:r>
          </w:p>
        </w:tc>
        <w:tc>
          <w:tcPr>
            <w:tcW w:w="1814" w:type="dxa"/>
            <w:tcBorders>
              <w:top w:val="nil"/>
              <w:left w:val="nil"/>
              <w:bottom w:val="nil"/>
            </w:tcBorders>
            <w:vAlign w:val="center"/>
          </w:tcPr>
          <w:p w14:paraId="2C80CC57"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Death registry</w:t>
            </w:r>
          </w:p>
        </w:tc>
      </w:tr>
      <w:tr w:rsidR="000B62AD" w:rsidRPr="002D088E" w14:paraId="19E8B79C" w14:textId="77777777" w:rsidTr="007E6C36">
        <w:trPr>
          <w:jc w:val="center"/>
        </w:trPr>
        <w:tc>
          <w:tcPr>
            <w:tcW w:w="1814" w:type="dxa"/>
            <w:tcBorders>
              <w:top w:val="nil"/>
              <w:bottom w:val="nil"/>
              <w:right w:val="nil"/>
            </w:tcBorders>
            <w:vAlign w:val="center"/>
          </w:tcPr>
          <w:p w14:paraId="034A7440"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Joseph 2021 [25]</w:t>
            </w:r>
          </w:p>
        </w:tc>
        <w:tc>
          <w:tcPr>
            <w:tcW w:w="1247" w:type="dxa"/>
            <w:tcBorders>
              <w:top w:val="nil"/>
              <w:left w:val="nil"/>
              <w:bottom w:val="nil"/>
              <w:right w:val="nil"/>
            </w:tcBorders>
            <w:vAlign w:val="center"/>
          </w:tcPr>
          <w:p w14:paraId="5A5A6F06"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Haiti</w:t>
            </w:r>
          </w:p>
        </w:tc>
        <w:tc>
          <w:tcPr>
            <w:tcW w:w="1644" w:type="dxa"/>
            <w:tcBorders>
              <w:top w:val="nil"/>
              <w:left w:val="nil"/>
              <w:bottom w:val="nil"/>
              <w:right w:val="nil"/>
            </w:tcBorders>
            <w:vAlign w:val="center"/>
          </w:tcPr>
          <w:p w14:paraId="5A6226BA"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Prospective cohort</w:t>
            </w:r>
          </w:p>
        </w:tc>
        <w:tc>
          <w:tcPr>
            <w:tcW w:w="1701" w:type="dxa"/>
            <w:tcBorders>
              <w:top w:val="nil"/>
              <w:left w:val="nil"/>
              <w:bottom w:val="nil"/>
              <w:right w:val="nil"/>
            </w:tcBorders>
            <w:vAlign w:val="center"/>
          </w:tcPr>
          <w:p w14:paraId="02748D7C"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HIV+ with/without TB</w:t>
            </w:r>
          </w:p>
        </w:tc>
        <w:tc>
          <w:tcPr>
            <w:tcW w:w="1247" w:type="dxa"/>
            <w:tcBorders>
              <w:top w:val="nil"/>
              <w:left w:val="nil"/>
              <w:bottom w:val="nil"/>
              <w:right w:val="nil"/>
            </w:tcBorders>
            <w:vAlign w:val="center"/>
          </w:tcPr>
          <w:p w14:paraId="4C646E57"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708</w:t>
            </w:r>
          </w:p>
        </w:tc>
        <w:tc>
          <w:tcPr>
            <w:tcW w:w="1701" w:type="dxa"/>
            <w:tcBorders>
              <w:top w:val="nil"/>
              <w:left w:val="nil"/>
              <w:bottom w:val="nil"/>
              <w:right w:val="nil"/>
            </w:tcBorders>
            <w:vAlign w:val="center"/>
          </w:tcPr>
          <w:p w14:paraId="43E9E476"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Median 10.8 years</w:t>
            </w:r>
          </w:p>
        </w:tc>
        <w:tc>
          <w:tcPr>
            <w:tcW w:w="1814" w:type="dxa"/>
            <w:tcBorders>
              <w:top w:val="nil"/>
              <w:left w:val="nil"/>
              <w:bottom w:val="nil"/>
            </w:tcBorders>
            <w:vAlign w:val="center"/>
          </w:tcPr>
          <w:p w14:paraId="7EEE6013"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Trial follow-up</w:t>
            </w:r>
          </w:p>
        </w:tc>
      </w:tr>
      <w:tr w:rsidR="000B62AD" w:rsidRPr="002D088E" w14:paraId="0D4ADDA0" w14:textId="77777777" w:rsidTr="007E6C36">
        <w:trPr>
          <w:jc w:val="center"/>
        </w:trPr>
        <w:tc>
          <w:tcPr>
            <w:tcW w:w="1814" w:type="dxa"/>
            <w:tcBorders>
              <w:top w:val="nil"/>
              <w:bottom w:val="nil"/>
              <w:right w:val="nil"/>
            </w:tcBorders>
            <w:vAlign w:val="center"/>
          </w:tcPr>
          <w:p w14:paraId="0FD89525" w14:textId="77777777" w:rsidR="000B62AD" w:rsidRPr="002D088E" w:rsidRDefault="000B62AD" w:rsidP="00B015AF">
            <w:pPr>
              <w:spacing w:before="20" w:after="20"/>
              <w:rPr>
                <w:rFonts w:ascii="Gill Sans MT" w:hAnsi="Gill Sans MT"/>
                <w:sz w:val="22"/>
              </w:rPr>
            </w:pPr>
            <w:proofErr w:type="spellStart"/>
            <w:r w:rsidRPr="002D088E">
              <w:rPr>
                <w:rFonts w:ascii="Gill Sans MT" w:eastAsia="Times New Roman" w:hAnsi="Gill Sans MT" w:cs="Times New Roman"/>
                <w:sz w:val="22"/>
              </w:rPr>
              <w:t>Kolappan</w:t>
            </w:r>
            <w:proofErr w:type="spellEnd"/>
            <w:r w:rsidRPr="002D088E">
              <w:rPr>
                <w:rFonts w:ascii="Gill Sans MT" w:eastAsia="Times New Roman" w:hAnsi="Gill Sans MT" w:cs="Times New Roman"/>
                <w:sz w:val="22"/>
              </w:rPr>
              <w:t xml:space="preserve"> 2006 [26]</w:t>
            </w:r>
          </w:p>
        </w:tc>
        <w:tc>
          <w:tcPr>
            <w:tcW w:w="1247" w:type="dxa"/>
            <w:tcBorders>
              <w:top w:val="nil"/>
              <w:left w:val="nil"/>
              <w:bottom w:val="nil"/>
              <w:right w:val="nil"/>
            </w:tcBorders>
            <w:vAlign w:val="center"/>
          </w:tcPr>
          <w:p w14:paraId="02DE6C22"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India</w:t>
            </w:r>
          </w:p>
        </w:tc>
        <w:tc>
          <w:tcPr>
            <w:tcW w:w="1644" w:type="dxa"/>
            <w:tcBorders>
              <w:top w:val="nil"/>
              <w:left w:val="nil"/>
              <w:bottom w:val="nil"/>
              <w:right w:val="nil"/>
            </w:tcBorders>
            <w:vAlign w:val="center"/>
          </w:tcPr>
          <w:p w14:paraId="29E716F7"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Cohort</w:t>
            </w:r>
          </w:p>
        </w:tc>
        <w:tc>
          <w:tcPr>
            <w:tcW w:w="1701" w:type="dxa"/>
            <w:tcBorders>
              <w:top w:val="nil"/>
              <w:left w:val="nil"/>
              <w:bottom w:val="nil"/>
              <w:right w:val="nil"/>
            </w:tcBorders>
            <w:vAlign w:val="center"/>
          </w:tcPr>
          <w:p w14:paraId="2168C791"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TB patients</w:t>
            </w:r>
          </w:p>
        </w:tc>
        <w:tc>
          <w:tcPr>
            <w:tcW w:w="1247" w:type="dxa"/>
            <w:tcBorders>
              <w:top w:val="nil"/>
              <w:left w:val="nil"/>
              <w:bottom w:val="nil"/>
              <w:right w:val="nil"/>
            </w:tcBorders>
            <w:vAlign w:val="center"/>
          </w:tcPr>
          <w:p w14:paraId="4BBCDB3E"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[Not specified]</w:t>
            </w:r>
          </w:p>
        </w:tc>
        <w:tc>
          <w:tcPr>
            <w:tcW w:w="1701" w:type="dxa"/>
            <w:tcBorders>
              <w:top w:val="nil"/>
              <w:left w:val="nil"/>
              <w:bottom w:val="nil"/>
              <w:right w:val="nil"/>
            </w:tcBorders>
            <w:vAlign w:val="center"/>
          </w:tcPr>
          <w:p w14:paraId="2733C400"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Post-treatment</w:t>
            </w:r>
          </w:p>
        </w:tc>
        <w:tc>
          <w:tcPr>
            <w:tcW w:w="1814" w:type="dxa"/>
            <w:tcBorders>
              <w:top w:val="nil"/>
              <w:left w:val="nil"/>
              <w:bottom w:val="nil"/>
            </w:tcBorders>
            <w:vAlign w:val="center"/>
          </w:tcPr>
          <w:p w14:paraId="07F2EBC0"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Active surveillance</w:t>
            </w:r>
          </w:p>
        </w:tc>
      </w:tr>
      <w:tr w:rsidR="000B62AD" w:rsidRPr="002D088E" w14:paraId="7960C98D" w14:textId="77777777" w:rsidTr="007E6C36">
        <w:trPr>
          <w:jc w:val="center"/>
        </w:trPr>
        <w:tc>
          <w:tcPr>
            <w:tcW w:w="1814" w:type="dxa"/>
            <w:tcBorders>
              <w:top w:val="nil"/>
              <w:bottom w:val="nil"/>
              <w:right w:val="nil"/>
            </w:tcBorders>
            <w:vAlign w:val="center"/>
          </w:tcPr>
          <w:p w14:paraId="0C24F16F"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Frank 2019 [27]</w:t>
            </w:r>
          </w:p>
        </w:tc>
        <w:tc>
          <w:tcPr>
            <w:tcW w:w="1247" w:type="dxa"/>
            <w:tcBorders>
              <w:top w:val="nil"/>
              <w:left w:val="nil"/>
              <w:bottom w:val="nil"/>
              <w:right w:val="nil"/>
            </w:tcBorders>
            <w:vAlign w:val="center"/>
          </w:tcPr>
          <w:p w14:paraId="004EEC8B"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Georgia</w:t>
            </w:r>
          </w:p>
        </w:tc>
        <w:tc>
          <w:tcPr>
            <w:tcW w:w="1644" w:type="dxa"/>
            <w:tcBorders>
              <w:top w:val="nil"/>
              <w:left w:val="nil"/>
              <w:bottom w:val="nil"/>
              <w:right w:val="nil"/>
            </w:tcBorders>
            <w:vAlign w:val="center"/>
          </w:tcPr>
          <w:p w14:paraId="6ED55354"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Retrospective cohort</w:t>
            </w:r>
          </w:p>
        </w:tc>
        <w:tc>
          <w:tcPr>
            <w:tcW w:w="1701" w:type="dxa"/>
            <w:tcBorders>
              <w:top w:val="nil"/>
              <w:left w:val="nil"/>
              <w:bottom w:val="nil"/>
              <w:right w:val="nil"/>
            </w:tcBorders>
            <w:vAlign w:val="center"/>
          </w:tcPr>
          <w:p w14:paraId="08EABE9F"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XDR-TB patients</w:t>
            </w:r>
          </w:p>
        </w:tc>
        <w:tc>
          <w:tcPr>
            <w:tcW w:w="1247" w:type="dxa"/>
            <w:tcBorders>
              <w:top w:val="nil"/>
              <w:left w:val="nil"/>
              <w:bottom w:val="nil"/>
              <w:right w:val="nil"/>
            </w:tcBorders>
            <w:vAlign w:val="center"/>
          </w:tcPr>
          <w:p w14:paraId="309F9A6D"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111</w:t>
            </w:r>
          </w:p>
        </w:tc>
        <w:tc>
          <w:tcPr>
            <w:tcW w:w="1701" w:type="dxa"/>
            <w:tcBorders>
              <w:top w:val="nil"/>
              <w:left w:val="nil"/>
              <w:bottom w:val="nil"/>
              <w:right w:val="nil"/>
            </w:tcBorders>
            <w:vAlign w:val="center"/>
          </w:tcPr>
          <w:p w14:paraId="75F41811"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Median 53.9 months</w:t>
            </w:r>
          </w:p>
        </w:tc>
        <w:tc>
          <w:tcPr>
            <w:tcW w:w="1814" w:type="dxa"/>
            <w:tcBorders>
              <w:top w:val="nil"/>
              <w:left w:val="nil"/>
              <w:bottom w:val="nil"/>
            </w:tcBorders>
            <w:vAlign w:val="center"/>
          </w:tcPr>
          <w:p w14:paraId="304C4787"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Death registry</w:t>
            </w:r>
          </w:p>
        </w:tc>
      </w:tr>
      <w:tr w:rsidR="000B62AD" w:rsidRPr="002D088E" w14:paraId="584CC1CE" w14:textId="77777777" w:rsidTr="007E6C36">
        <w:trPr>
          <w:jc w:val="center"/>
        </w:trPr>
        <w:tc>
          <w:tcPr>
            <w:tcW w:w="1814" w:type="dxa"/>
            <w:tcBorders>
              <w:top w:val="nil"/>
              <w:bottom w:val="nil"/>
              <w:right w:val="nil"/>
            </w:tcBorders>
            <w:vAlign w:val="center"/>
          </w:tcPr>
          <w:p w14:paraId="11211951"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Acharya 2023 [28]</w:t>
            </w:r>
          </w:p>
        </w:tc>
        <w:tc>
          <w:tcPr>
            <w:tcW w:w="1247" w:type="dxa"/>
            <w:tcBorders>
              <w:top w:val="nil"/>
              <w:left w:val="nil"/>
              <w:bottom w:val="nil"/>
              <w:right w:val="nil"/>
            </w:tcBorders>
            <w:vAlign w:val="center"/>
          </w:tcPr>
          <w:p w14:paraId="3DD4EBE7"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India</w:t>
            </w:r>
          </w:p>
        </w:tc>
        <w:tc>
          <w:tcPr>
            <w:tcW w:w="1644" w:type="dxa"/>
            <w:tcBorders>
              <w:top w:val="nil"/>
              <w:left w:val="nil"/>
              <w:bottom w:val="nil"/>
              <w:right w:val="nil"/>
            </w:tcBorders>
            <w:vAlign w:val="center"/>
          </w:tcPr>
          <w:p w14:paraId="2C6ACE97"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Cohort</w:t>
            </w:r>
          </w:p>
        </w:tc>
        <w:tc>
          <w:tcPr>
            <w:tcW w:w="1701" w:type="dxa"/>
            <w:tcBorders>
              <w:top w:val="nil"/>
              <w:left w:val="nil"/>
              <w:bottom w:val="nil"/>
              <w:right w:val="nil"/>
            </w:tcBorders>
            <w:vAlign w:val="center"/>
          </w:tcPr>
          <w:p w14:paraId="1884503F"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HIV-TB coinfected</w:t>
            </w:r>
          </w:p>
        </w:tc>
        <w:tc>
          <w:tcPr>
            <w:tcW w:w="1247" w:type="dxa"/>
            <w:tcBorders>
              <w:top w:val="nil"/>
              <w:left w:val="nil"/>
              <w:bottom w:val="nil"/>
              <w:right w:val="nil"/>
            </w:tcBorders>
            <w:vAlign w:val="center"/>
          </w:tcPr>
          <w:p w14:paraId="27074F1D"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[Not specified]</w:t>
            </w:r>
          </w:p>
        </w:tc>
        <w:tc>
          <w:tcPr>
            <w:tcW w:w="1701" w:type="dxa"/>
            <w:tcBorders>
              <w:top w:val="nil"/>
              <w:left w:val="nil"/>
              <w:bottom w:val="nil"/>
              <w:right w:val="nil"/>
            </w:tcBorders>
            <w:vAlign w:val="center"/>
          </w:tcPr>
          <w:p w14:paraId="5E72D749"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During/after treatment</w:t>
            </w:r>
          </w:p>
        </w:tc>
        <w:tc>
          <w:tcPr>
            <w:tcW w:w="1814" w:type="dxa"/>
            <w:tcBorders>
              <w:top w:val="nil"/>
              <w:left w:val="nil"/>
              <w:bottom w:val="nil"/>
            </w:tcBorders>
            <w:vAlign w:val="center"/>
          </w:tcPr>
          <w:p w14:paraId="76B9FDDB"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Hospital records</w:t>
            </w:r>
          </w:p>
        </w:tc>
      </w:tr>
      <w:tr w:rsidR="000B62AD" w:rsidRPr="002D088E" w14:paraId="0278A65A" w14:textId="77777777" w:rsidTr="007E6C36">
        <w:trPr>
          <w:jc w:val="center"/>
        </w:trPr>
        <w:tc>
          <w:tcPr>
            <w:tcW w:w="1814" w:type="dxa"/>
            <w:tcBorders>
              <w:top w:val="nil"/>
              <w:bottom w:val="nil"/>
              <w:right w:val="nil"/>
            </w:tcBorders>
            <w:vAlign w:val="center"/>
          </w:tcPr>
          <w:p w14:paraId="13B3D06F" w14:textId="77777777" w:rsidR="000B62AD" w:rsidRPr="002D088E" w:rsidRDefault="000B62AD" w:rsidP="00B015AF">
            <w:pPr>
              <w:spacing w:before="20" w:after="20"/>
              <w:rPr>
                <w:rFonts w:ascii="Gill Sans MT" w:hAnsi="Gill Sans MT"/>
                <w:sz w:val="22"/>
              </w:rPr>
            </w:pPr>
            <w:proofErr w:type="spellStart"/>
            <w:r w:rsidRPr="002D088E">
              <w:rPr>
                <w:rFonts w:ascii="Gill Sans MT" w:eastAsia="Times New Roman" w:hAnsi="Gill Sans MT" w:cs="Times New Roman"/>
                <w:sz w:val="22"/>
              </w:rPr>
              <w:t>Hugara</w:t>
            </w:r>
            <w:proofErr w:type="spellEnd"/>
            <w:r w:rsidRPr="002D088E">
              <w:rPr>
                <w:rFonts w:ascii="Gill Sans MT" w:eastAsia="Times New Roman" w:hAnsi="Gill Sans MT" w:cs="Times New Roman"/>
                <w:sz w:val="22"/>
              </w:rPr>
              <w:t xml:space="preserve"> 2024 [29]</w:t>
            </w:r>
          </w:p>
        </w:tc>
        <w:tc>
          <w:tcPr>
            <w:tcW w:w="1247" w:type="dxa"/>
            <w:tcBorders>
              <w:top w:val="nil"/>
              <w:left w:val="nil"/>
              <w:bottom w:val="nil"/>
              <w:right w:val="nil"/>
            </w:tcBorders>
            <w:vAlign w:val="center"/>
          </w:tcPr>
          <w:p w14:paraId="744FE892"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India</w:t>
            </w:r>
          </w:p>
        </w:tc>
        <w:tc>
          <w:tcPr>
            <w:tcW w:w="1644" w:type="dxa"/>
            <w:tcBorders>
              <w:top w:val="nil"/>
              <w:left w:val="nil"/>
              <w:bottom w:val="nil"/>
              <w:right w:val="nil"/>
            </w:tcBorders>
            <w:vAlign w:val="center"/>
          </w:tcPr>
          <w:p w14:paraId="389A165C"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Cross-sectional</w:t>
            </w:r>
          </w:p>
        </w:tc>
        <w:tc>
          <w:tcPr>
            <w:tcW w:w="1701" w:type="dxa"/>
            <w:tcBorders>
              <w:top w:val="nil"/>
              <w:left w:val="nil"/>
              <w:bottom w:val="nil"/>
              <w:right w:val="nil"/>
            </w:tcBorders>
            <w:vAlign w:val="center"/>
          </w:tcPr>
          <w:p w14:paraId="0A58A1DD"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Cured/completed TB</w:t>
            </w:r>
          </w:p>
        </w:tc>
        <w:tc>
          <w:tcPr>
            <w:tcW w:w="1247" w:type="dxa"/>
            <w:tcBorders>
              <w:top w:val="nil"/>
              <w:left w:val="nil"/>
              <w:bottom w:val="nil"/>
              <w:right w:val="nil"/>
            </w:tcBorders>
            <w:vAlign w:val="center"/>
          </w:tcPr>
          <w:p w14:paraId="054657FB"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150</w:t>
            </w:r>
          </w:p>
        </w:tc>
        <w:tc>
          <w:tcPr>
            <w:tcW w:w="1701" w:type="dxa"/>
            <w:tcBorders>
              <w:top w:val="nil"/>
              <w:left w:val="nil"/>
              <w:bottom w:val="nil"/>
              <w:right w:val="nil"/>
            </w:tcBorders>
            <w:vAlign w:val="center"/>
          </w:tcPr>
          <w:p w14:paraId="76A9F09A"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5 years</w:t>
            </w:r>
          </w:p>
        </w:tc>
        <w:tc>
          <w:tcPr>
            <w:tcW w:w="1814" w:type="dxa"/>
            <w:tcBorders>
              <w:top w:val="nil"/>
              <w:left w:val="nil"/>
              <w:bottom w:val="nil"/>
            </w:tcBorders>
            <w:vAlign w:val="center"/>
          </w:tcPr>
          <w:p w14:paraId="70803B87"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Survey</w:t>
            </w:r>
          </w:p>
        </w:tc>
      </w:tr>
      <w:tr w:rsidR="000B62AD" w:rsidRPr="002D088E" w14:paraId="474D39C2" w14:textId="77777777" w:rsidTr="007E6C36">
        <w:trPr>
          <w:jc w:val="center"/>
        </w:trPr>
        <w:tc>
          <w:tcPr>
            <w:tcW w:w="1814" w:type="dxa"/>
            <w:tcBorders>
              <w:top w:val="nil"/>
              <w:right w:val="nil"/>
            </w:tcBorders>
            <w:vAlign w:val="center"/>
          </w:tcPr>
          <w:p w14:paraId="69928B5B"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Romanowski 2019 [30]</w:t>
            </w:r>
          </w:p>
        </w:tc>
        <w:tc>
          <w:tcPr>
            <w:tcW w:w="1247" w:type="dxa"/>
            <w:tcBorders>
              <w:top w:val="nil"/>
              <w:left w:val="nil"/>
              <w:right w:val="nil"/>
            </w:tcBorders>
            <w:vAlign w:val="center"/>
          </w:tcPr>
          <w:p w14:paraId="35F918E6"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Multi-country</w:t>
            </w:r>
          </w:p>
        </w:tc>
        <w:tc>
          <w:tcPr>
            <w:tcW w:w="1644" w:type="dxa"/>
            <w:tcBorders>
              <w:top w:val="nil"/>
              <w:left w:val="nil"/>
              <w:right w:val="nil"/>
            </w:tcBorders>
            <w:vAlign w:val="center"/>
          </w:tcPr>
          <w:p w14:paraId="303CFD2F"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Systematic review</w:t>
            </w:r>
          </w:p>
        </w:tc>
        <w:tc>
          <w:tcPr>
            <w:tcW w:w="1701" w:type="dxa"/>
            <w:tcBorders>
              <w:top w:val="nil"/>
              <w:left w:val="nil"/>
              <w:right w:val="nil"/>
            </w:tcBorders>
            <w:vAlign w:val="center"/>
          </w:tcPr>
          <w:p w14:paraId="2EC9AE72"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TB treated patients</w:t>
            </w:r>
          </w:p>
        </w:tc>
        <w:tc>
          <w:tcPr>
            <w:tcW w:w="1247" w:type="dxa"/>
            <w:tcBorders>
              <w:top w:val="nil"/>
              <w:left w:val="nil"/>
              <w:right w:val="nil"/>
            </w:tcBorders>
            <w:vAlign w:val="center"/>
          </w:tcPr>
          <w:p w14:paraId="0A361200"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40,781 (pooled)</w:t>
            </w:r>
          </w:p>
        </w:tc>
        <w:tc>
          <w:tcPr>
            <w:tcW w:w="1701" w:type="dxa"/>
            <w:tcBorders>
              <w:top w:val="nil"/>
              <w:left w:val="nil"/>
              <w:right w:val="nil"/>
            </w:tcBorders>
            <w:vAlign w:val="center"/>
          </w:tcPr>
          <w:p w14:paraId="575D4185" w14:textId="77777777" w:rsidR="000B62AD" w:rsidRPr="002D088E" w:rsidRDefault="000B62AD" w:rsidP="00B015AF">
            <w:pPr>
              <w:spacing w:before="20" w:after="20"/>
              <w:jc w:val="center"/>
              <w:rPr>
                <w:rFonts w:ascii="Gill Sans MT" w:hAnsi="Gill Sans MT"/>
                <w:sz w:val="22"/>
              </w:rPr>
            </w:pPr>
            <w:r w:rsidRPr="002D088E">
              <w:rPr>
                <w:rFonts w:ascii="Gill Sans MT" w:eastAsia="Times New Roman" w:hAnsi="Gill Sans MT" w:cs="Times New Roman"/>
                <w:sz w:val="22"/>
              </w:rPr>
              <w:t>≥12 months</w:t>
            </w:r>
          </w:p>
        </w:tc>
        <w:tc>
          <w:tcPr>
            <w:tcW w:w="1814" w:type="dxa"/>
            <w:tcBorders>
              <w:top w:val="nil"/>
              <w:left w:val="nil"/>
            </w:tcBorders>
            <w:vAlign w:val="center"/>
          </w:tcPr>
          <w:p w14:paraId="2FA77C03" w14:textId="77777777" w:rsidR="000B62AD" w:rsidRPr="002D088E" w:rsidRDefault="000B62AD" w:rsidP="00B015AF">
            <w:pPr>
              <w:spacing w:before="20" w:after="20"/>
              <w:rPr>
                <w:rFonts w:ascii="Gill Sans MT" w:hAnsi="Gill Sans MT"/>
                <w:sz w:val="22"/>
              </w:rPr>
            </w:pPr>
            <w:r w:rsidRPr="002D088E">
              <w:rPr>
                <w:rFonts w:ascii="Gill Sans MT" w:eastAsia="Times New Roman" w:hAnsi="Gill Sans MT" w:cs="Times New Roman"/>
                <w:sz w:val="22"/>
              </w:rPr>
              <w:t>Meta-analysis</w:t>
            </w:r>
          </w:p>
        </w:tc>
      </w:tr>
    </w:tbl>
    <w:p w14:paraId="78ADA9EE" w14:textId="77777777" w:rsidR="000B62AD" w:rsidRPr="002D088E" w:rsidRDefault="000B62AD" w:rsidP="002D088E">
      <w:pPr>
        <w:jc w:val="center"/>
        <w:rPr>
          <w:rFonts w:ascii="Gill Sans MT" w:hAnsi="Gill Sans MT"/>
          <w:sz w:val="18"/>
          <w:szCs w:val="18"/>
        </w:rPr>
      </w:pPr>
      <w:r w:rsidRPr="002D088E">
        <w:rPr>
          <w:rFonts w:ascii="Gill Sans MT" w:eastAsia="Times New Roman" w:hAnsi="Gill Sans MT" w:cs="Times New Roman"/>
          <w:i/>
          <w:sz w:val="18"/>
          <w:szCs w:val="18"/>
        </w:rPr>
        <w:t>PTB = pulmonary tuberculosis; MDR = multidrug-resistant; RR = rifampicin-resistant; XDR = extensively drug-resistant; PY = person-years</w:t>
      </w:r>
    </w:p>
    <w:p w14:paraId="395D033A" w14:textId="77777777" w:rsidR="000B62AD" w:rsidRPr="007E6C36" w:rsidRDefault="000B62AD" w:rsidP="000B62AD">
      <w:pPr>
        <w:pStyle w:val="Heading3"/>
        <w:spacing w:before="160" w:after="40"/>
        <w:rPr>
          <w:rFonts w:ascii="Gill Sans MT" w:hAnsi="Gill Sans MT"/>
          <w:color w:val="auto"/>
          <w:sz w:val="22"/>
        </w:rPr>
      </w:pPr>
      <w:r w:rsidRPr="007E6C36">
        <w:rPr>
          <w:rFonts w:ascii="Gill Sans MT" w:eastAsia="Times New Roman" w:hAnsi="Gill Sans MT" w:cs="Times New Roman"/>
          <w:color w:val="auto"/>
          <w:sz w:val="22"/>
        </w:rPr>
        <w:t>3.3 Incidence of Post-Treatment Mortality</w:t>
      </w:r>
    </w:p>
    <w:p w14:paraId="405193F9" w14:textId="77777777" w:rsidR="000B62AD" w:rsidRPr="007E6C36" w:rsidRDefault="000B62AD" w:rsidP="000B62AD">
      <w:pPr>
        <w:pStyle w:val="Heading4"/>
        <w:spacing w:before="120" w:after="40"/>
        <w:rPr>
          <w:rFonts w:ascii="Gill Sans MT" w:hAnsi="Gill Sans MT"/>
          <w:color w:val="auto"/>
          <w:sz w:val="22"/>
        </w:rPr>
      </w:pPr>
      <w:r w:rsidRPr="007E6C36">
        <w:rPr>
          <w:rFonts w:ascii="Gill Sans MT" w:eastAsia="Times New Roman" w:hAnsi="Gill Sans MT" w:cs="Times New Roman"/>
          <w:i w:val="0"/>
          <w:color w:val="auto"/>
          <w:sz w:val="22"/>
        </w:rPr>
        <w:t>3.3.1 Standardized Mortality Ratios</w:t>
      </w:r>
    </w:p>
    <w:p w14:paraId="14A69160" w14:textId="77777777" w:rsidR="000B62AD" w:rsidRPr="00915354" w:rsidRDefault="000B62AD" w:rsidP="000B62AD">
      <w:pPr>
        <w:jc w:val="both"/>
        <w:rPr>
          <w:rFonts w:ascii="Gill Sans MT" w:hAnsi="Gill Sans MT"/>
        </w:rPr>
      </w:pPr>
      <w:r w:rsidRPr="00915354">
        <w:rPr>
          <w:rFonts w:ascii="Gill Sans MT" w:eastAsia="Times New Roman" w:hAnsi="Gill Sans MT" w:cs="Times New Roman"/>
          <w:sz w:val="22"/>
        </w:rPr>
        <w:t>The most robust estimate of excess mortality comes from a systematic review and meta-analysis by Romanowski et al. [30], which pooled data from 10 cohort studies including 40,781 individuals and 6,922 deaths. The pooled standardized mortality ratio (SMR) was 2.91 (95% CI 2.21–3.84), indicating that TB survivors experienced nearly three-fold higher all-cause mortality compared to the general population or matched controls. However, heterogeneity was very high (I²=99%), reflecting substantial variation across studies in populations, settings, and follow-up periods.</w:t>
      </w:r>
    </w:p>
    <w:p w14:paraId="5523C227" w14:textId="77777777" w:rsidR="000B62AD" w:rsidRPr="00915354" w:rsidRDefault="000B62AD" w:rsidP="000B62AD">
      <w:pPr>
        <w:jc w:val="both"/>
        <w:rPr>
          <w:rFonts w:ascii="Gill Sans MT" w:hAnsi="Gill Sans MT"/>
        </w:rPr>
      </w:pPr>
      <w:r w:rsidRPr="00915354">
        <w:rPr>
          <w:rFonts w:ascii="Gill Sans MT" w:eastAsia="Times New Roman" w:hAnsi="Gill Sans MT" w:cs="Times New Roman"/>
          <w:sz w:val="22"/>
        </w:rPr>
        <w:t xml:space="preserve">Individual cohort studies reported SMRs ranging from 0.89 to 3.7. In a large US cohort from Georgia, </w:t>
      </w:r>
      <w:proofErr w:type="spellStart"/>
      <w:r w:rsidRPr="00915354">
        <w:rPr>
          <w:rFonts w:ascii="Gill Sans MT" w:eastAsia="Times New Roman" w:hAnsi="Gill Sans MT" w:cs="Times New Roman"/>
          <w:sz w:val="22"/>
        </w:rPr>
        <w:t>Gorvetzian</w:t>
      </w:r>
      <w:proofErr w:type="spellEnd"/>
      <w:r w:rsidRPr="00915354">
        <w:rPr>
          <w:rFonts w:ascii="Gill Sans MT" w:eastAsia="Times New Roman" w:hAnsi="Gill Sans MT" w:cs="Times New Roman"/>
          <w:sz w:val="22"/>
        </w:rPr>
        <w:t xml:space="preserve"> et al. [21] found an SMR of approximately 0.89–0.93, suggesting mortality rates similar to or slightly lower than the general population, possibly reflecting a healthy immigrant effect and high-quality post-treatment care. In contrast, </w:t>
      </w:r>
      <w:proofErr w:type="spellStart"/>
      <w:r w:rsidRPr="00915354">
        <w:rPr>
          <w:rFonts w:ascii="Gill Sans MT" w:eastAsia="Times New Roman" w:hAnsi="Gill Sans MT" w:cs="Times New Roman"/>
          <w:sz w:val="22"/>
        </w:rPr>
        <w:t>Shuldiner</w:t>
      </w:r>
      <w:proofErr w:type="spellEnd"/>
      <w:r w:rsidRPr="00915354">
        <w:rPr>
          <w:rFonts w:ascii="Gill Sans MT" w:eastAsia="Times New Roman" w:hAnsi="Gill Sans MT" w:cs="Times New Roman"/>
          <w:sz w:val="22"/>
        </w:rPr>
        <w:t xml:space="preserve"> et al. [24] reported an SMR of 3.7 in Israel, with particularly elevated mortality among males and individuals aged 25–44 years, and excess deaths attributed to sepsis and pneumonia.</w:t>
      </w:r>
    </w:p>
    <w:p w14:paraId="57DC276F" w14:textId="77777777" w:rsidR="000B62AD" w:rsidRPr="007E6C36" w:rsidRDefault="000B62AD" w:rsidP="000B62AD">
      <w:pPr>
        <w:pStyle w:val="Heading4"/>
        <w:spacing w:before="120" w:after="40"/>
        <w:rPr>
          <w:rFonts w:ascii="Gill Sans MT" w:hAnsi="Gill Sans MT"/>
          <w:color w:val="auto"/>
          <w:sz w:val="22"/>
        </w:rPr>
      </w:pPr>
      <w:r w:rsidRPr="007E6C36">
        <w:rPr>
          <w:rFonts w:ascii="Gill Sans MT" w:eastAsia="Times New Roman" w:hAnsi="Gill Sans MT" w:cs="Times New Roman"/>
          <w:i w:val="0"/>
          <w:color w:val="auto"/>
          <w:sz w:val="22"/>
        </w:rPr>
        <w:t>3.3.2 Mortality Rates and Proportions</w:t>
      </w:r>
    </w:p>
    <w:p w14:paraId="33E1C24A" w14:textId="77777777" w:rsidR="000B62AD" w:rsidRPr="00915354" w:rsidRDefault="000B62AD" w:rsidP="000B62AD">
      <w:pPr>
        <w:jc w:val="both"/>
        <w:rPr>
          <w:rFonts w:ascii="Gill Sans MT" w:hAnsi="Gill Sans MT"/>
          <w:sz w:val="22"/>
        </w:rPr>
      </w:pPr>
      <w:r w:rsidRPr="00915354">
        <w:rPr>
          <w:rFonts w:ascii="Gill Sans MT" w:eastAsia="Times New Roman" w:hAnsi="Gill Sans MT" w:cs="Times New Roman"/>
          <w:sz w:val="22"/>
        </w:rPr>
        <w:t>Across individual cohort studies, cumulative mortality proportions ranged from 6.9% to 34.7%, and mortality rates ranged from 15.4 to 28.5 per 1,000 person-years, depending on population characteristics and follow-up duration.</w:t>
      </w:r>
    </w:p>
    <w:p w14:paraId="76E7591C" w14:textId="77777777" w:rsidR="000B62AD" w:rsidRPr="00915354" w:rsidRDefault="000B62AD" w:rsidP="000B62AD">
      <w:pPr>
        <w:jc w:val="both"/>
        <w:rPr>
          <w:rFonts w:ascii="Gill Sans MT" w:hAnsi="Gill Sans MT"/>
          <w:sz w:val="22"/>
        </w:rPr>
      </w:pPr>
      <w:r w:rsidRPr="00915354">
        <w:rPr>
          <w:rFonts w:ascii="Gill Sans MT" w:eastAsia="Times New Roman" w:hAnsi="Gill Sans MT" w:cs="Times New Roman"/>
          <w:sz w:val="22"/>
        </w:rPr>
        <w:t xml:space="preserve">In general TB survivor populations, </w:t>
      </w:r>
      <w:proofErr w:type="spellStart"/>
      <w:r w:rsidRPr="00915354">
        <w:rPr>
          <w:rFonts w:ascii="Gill Sans MT" w:eastAsia="Times New Roman" w:hAnsi="Gill Sans MT" w:cs="Times New Roman"/>
          <w:sz w:val="22"/>
        </w:rPr>
        <w:t>Baluku</w:t>
      </w:r>
      <w:proofErr w:type="spellEnd"/>
      <w:r w:rsidRPr="00915354">
        <w:rPr>
          <w:rFonts w:ascii="Gill Sans MT" w:eastAsia="Times New Roman" w:hAnsi="Gill Sans MT" w:cs="Times New Roman"/>
          <w:sz w:val="22"/>
        </w:rPr>
        <w:t xml:space="preserve"> et al. [1] reported 11.4% mortality (38/334 deaths) among pulmonary TB survivors in rural Uganda, with a crude mortality rate of 28.5 per 1,000 person-years. In India, </w:t>
      </w:r>
      <w:proofErr w:type="spellStart"/>
      <w:r w:rsidRPr="00915354">
        <w:rPr>
          <w:rFonts w:ascii="Gill Sans MT" w:eastAsia="Times New Roman" w:hAnsi="Gill Sans MT" w:cs="Times New Roman"/>
          <w:sz w:val="22"/>
        </w:rPr>
        <w:t>Hugara</w:t>
      </w:r>
      <w:proofErr w:type="spellEnd"/>
      <w:r w:rsidRPr="00915354">
        <w:rPr>
          <w:rFonts w:ascii="Gill Sans MT" w:eastAsia="Times New Roman" w:hAnsi="Gill Sans MT" w:cs="Times New Roman"/>
          <w:sz w:val="22"/>
        </w:rPr>
        <w:t xml:space="preserve"> et al. [29] found 13.3% mortality at 5 years among successfully treated TB patients, with a 5-year survival rate of 86.7%. In Iran, </w:t>
      </w:r>
      <w:proofErr w:type="spellStart"/>
      <w:r w:rsidRPr="00915354">
        <w:rPr>
          <w:rFonts w:ascii="Gill Sans MT" w:eastAsia="Times New Roman" w:hAnsi="Gill Sans MT" w:cs="Times New Roman"/>
          <w:sz w:val="22"/>
        </w:rPr>
        <w:t>Moosazadeh</w:t>
      </w:r>
      <w:proofErr w:type="spellEnd"/>
      <w:r w:rsidRPr="00915354">
        <w:rPr>
          <w:rFonts w:ascii="Gill Sans MT" w:eastAsia="Times New Roman" w:hAnsi="Gill Sans MT" w:cs="Times New Roman"/>
          <w:sz w:val="22"/>
        </w:rPr>
        <w:t xml:space="preserve"> et al. [6] reported 15.5% mortality (149/964 deaths) over a median follow-up of 10.5 years, with an 11-year survival probability of approximately 70%.</w:t>
      </w:r>
    </w:p>
    <w:p w14:paraId="24528B46" w14:textId="77777777" w:rsidR="000B62AD" w:rsidRPr="00915354" w:rsidRDefault="000B62AD" w:rsidP="000B62AD">
      <w:pPr>
        <w:jc w:val="both"/>
        <w:rPr>
          <w:rFonts w:ascii="Gill Sans MT" w:hAnsi="Gill Sans MT"/>
          <w:sz w:val="22"/>
        </w:rPr>
      </w:pPr>
      <w:r w:rsidRPr="00915354">
        <w:rPr>
          <w:rFonts w:ascii="Gill Sans MT" w:eastAsia="Times New Roman" w:hAnsi="Gill Sans MT" w:cs="Times New Roman"/>
          <w:sz w:val="22"/>
        </w:rPr>
        <w:t xml:space="preserve">Among HIV-positive cohorts, mortality was generally higher. </w:t>
      </w:r>
      <w:proofErr w:type="spellStart"/>
      <w:r w:rsidRPr="00915354">
        <w:rPr>
          <w:rFonts w:ascii="Gill Sans MT" w:eastAsia="Times New Roman" w:hAnsi="Gill Sans MT" w:cs="Times New Roman"/>
          <w:sz w:val="22"/>
        </w:rPr>
        <w:t>Lumu</w:t>
      </w:r>
      <w:proofErr w:type="spellEnd"/>
      <w:r w:rsidRPr="00915354">
        <w:rPr>
          <w:rFonts w:ascii="Gill Sans MT" w:eastAsia="Times New Roman" w:hAnsi="Gill Sans MT" w:cs="Times New Roman"/>
          <w:sz w:val="22"/>
        </w:rPr>
        <w:t xml:space="preserve"> et al. [2] reported an all-cause mortality rate of 15.42 per 1,000 person-years (95% CI 12.14–19.59) among ART-experienced people living with HIV in Uganda who completed TB treatment, with a 5-year probability of death of 6.9% (95% CI 5.5–8.8%). Joseph et al. [25] found 5-year and 10-year mortality of 14.2% and 17.9%, respectively, among HIV-positive individuals with prior TB in Haiti, compared to 6.1% and 8.4% among those without TB (adjusted HR 2.78, </w:t>
      </w:r>
      <w:r w:rsidRPr="00915354">
        <w:rPr>
          <w:rFonts w:ascii="Gill Sans MT" w:eastAsia="Times New Roman" w:hAnsi="Gill Sans MT" w:cs="Times New Roman"/>
          <w:sz w:val="22"/>
        </w:rPr>
        <w:lastRenderedPageBreak/>
        <w:t>95% CI 1.61–4.79). Zheng et al. [4] reported 34.7% overall mortality among HIV-TB coinfected patients in southern China over 5 years of follow-up.</w:t>
      </w:r>
    </w:p>
    <w:p w14:paraId="0DB5B8E6" w14:textId="77777777" w:rsidR="000B62AD" w:rsidRPr="00915354" w:rsidRDefault="000B62AD" w:rsidP="000B62AD">
      <w:pPr>
        <w:jc w:val="both"/>
        <w:rPr>
          <w:rFonts w:ascii="Gill Sans MT" w:hAnsi="Gill Sans MT"/>
          <w:sz w:val="22"/>
        </w:rPr>
      </w:pPr>
      <w:r w:rsidRPr="00915354">
        <w:rPr>
          <w:rFonts w:ascii="Gill Sans MT" w:eastAsia="Times New Roman" w:hAnsi="Gill Sans MT" w:cs="Times New Roman"/>
          <w:sz w:val="22"/>
        </w:rPr>
        <w:t xml:space="preserve">Drug-resistant TB cohorts also experienced high mortality. </w:t>
      </w:r>
      <w:proofErr w:type="spellStart"/>
      <w:r w:rsidRPr="00915354">
        <w:rPr>
          <w:rFonts w:ascii="Gill Sans MT" w:eastAsia="Times New Roman" w:hAnsi="Gill Sans MT" w:cs="Times New Roman"/>
          <w:sz w:val="22"/>
        </w:rPr>
        <w:t>Salindri</w:t>
      </w:r>
      <w:proofErr w:type="spellEnd"/>
      <w:r w:rsidRPr="00915354">
        <w:rPr>
          <w:rFonts w:ascii="Gill Sans MT" w:eastAsia="Times New Roman" w:hAnsi="Gill Sans MT" w:cs="Times New Roman"/>
          <w:sz w:val="22"/>
        </w:rPr>
        <w:t xml:space="preserve"> et al. [14] reported 8.7% post-TB mortality (87 deaths) among 1,032 rifampicin-resistant/multidrug-resistant (RR/MDR-TB) patients in Georgia, with a median time to death of 21 months. Frank et al. [27] found 34.0% overall mortality among 111 extensively drug-resistant (XDR-TB) patients in Georgia, with 15.1% dying at end of treatment and an additional 20 deaths occurring after treatment cessation.</w:t>
      </w:r>
    </w:p>
    <w:p w14:paraId="0F831970" w14:textId="77777777" w:rsidR="000B62AD" w:rsidRPr="00915354" w:rsidRDefault="000B62AD" w:rsidP="000B62AD">
      <w:pPr>
        <w:pStyle w:val="Heading3"/>
        <w:spacing w:before="160" w:after="40"/>
        <w:rPr>
          <w:rFonts w:ascii="Gill Sans MT" w:hAnsi="Gill Sans MT"/>
          <w:color w:val="auto"/>
          <w:sz w:val="22"/>
        </w:rPr>
      </w:pPr>
      <w:r w:rsidRPr="00915354">
        <w:rPr>
          <w:rFonts w:ascii="Gill Sans MT" w:eastAsia="Times New Roman" w:hAnsi="Gill Sans MT" w:cs="Times New Roman"/>
          <w:color w:val="auto"/>
          <w:sz w:val="22"/>
        </w:rPr>
        <w:t>3.4 Timing of Deaths After Treatment Completion</w:t>
      </w:r>
    </w:p>
    <w:p w14:paraId="337394E9" w14:textId="77777777" w:rsidR="000B62AD" w:rsidRPr="00915354" w:rsidRDefault="000B62AD" w:rsidP="000B62AD">
      <w:pPr>
        <w:jc w:val="both"/>
        <w:rPr>
          <w:rFonts w:ascii="Gill Sans MT" w:hAnsi="Gill Sans MT"/>
          <w:sz w:val="22"/>
        </w:rPr>
      </w:pPr>
      <w:r w:rsidRPr="00915354">
        <w:rPr>
          <w:rFonts w:ascii="Gill Sans MT" w:eastAsia="Times New Roman" w:hAnsi="Gill Sans MT" w:cs="Times New Roman"/>
          <w:sz w:val="22"/>
        </w:rPr>
        <w:t>A consistent finding across studies was that post-treatment mortality was concentrated in the early years after treatment completion, particularly within the first 1–3 years, though elevated risk persisted for many years.</w:t>
      </w:r>
    </w:p>
    <w:p w14:paraId="74248376" w14:textId="77777777" w:rsidR="000B62AD" w:rsidRPr="00915354" w:rsidRDefault="000B62AD" w:rsidP="000B62AD">
      <w:pPr>
        <w:jc w:val="both"/>
        <w:rPr>
          <w:rFonts w:ascii="Gill Sans MT" w:hAnsi="Gill Sans MT"/>
          <w:sz w:val="22"/>
        </w:rPr>
      </w:pPr>
      <w:proofErr w:type="spellStart"/>
      <w:r w:rsidRPr="00915354">
        <w:rPr>
          <w:rFonts w:ascii="Gill Sans MT" w:eastAsia="Times New Roman" w:hAnsi="Gill Sans MT" w:cs="Times New Roman"/>
          <w:sz w:val="22"/>
        </w:rPr>
        <w:t>Lumu</w:t>
      </w:r>
      <w:proofErr w:type="spellEnd"/>
      <w:r w:rsidRPr="00915354">
        <w:rPr>
          <w:rFonts w:ascii="Gill Sans MT" w:eastAsia="Times New Roman" w:hAnsi="Gill Sans MT" w:cs="Times New Roman"/>
          <w:sz w:val="22"/>
        </w:rPr>
        <w:t xml:space="preserve"> et al. [2] reported that most deaths among HIV-positive TB survivors in Uganda occurred within 2 years of treatment completion, with mortality decreasing drastically by year 5. </w:t>
      </w:r>
      <w:proofErr w:type="spellStart"/>
      <w:r w:rsidRPr="00915354">
        <w:rPr>
          <w:rFonts w:ascii="Gill Sans MT" w:eastAsia="Times New Roman" w:hAnsi="Gill Sans MT" w:cs="Times New Roman"/>
          <w:sz w:val="22"/>
        </w:rPr>
        <w:t>Salindri</w:t>
      </w:r>
      <w:proofErr w:type="spellEnd"/>
      <w:r w:rsidRPr="00915354">
        <w:rPr>
          <w:rFonts w:ascii="Gill Sans MT" w:eastAsia="Times New Roman" w:hAnsi="Gill Sans MT" w:cs="Times New Roman"/>
          <w:sz w:val="22"/>
        </w:rPr>
        <w:t xml:space="preserve"> et al. [14] found that post-TB mortality among RR/MDR-TB patients occurred most commonly in the first 3 years after treatment, with a median time to death of 21 months (IQR 7–39 months). In India, </w:t>
      </w:r>
      <w:proofErr w:type="spellStart"/>
      <w:r w:rsidRPr="00915354">
        <w:rPr>
          <w:rFonts w:ascii="Gill Sans MT" w:eastAsia="Times New Roman" w:hAnsi="Gill Sans MT" w:cs="Times New Roman"/>
          <w:sz w:val="22"/>
        </w:rPr>
        <w:t>Hugara</w:t>
      </w:r>
      <w:proofErr w:type="spellEnd"/>
      <w:r w:rsidRPr="00915354">
        <w:rPr>
          <w:rFonts w:ascii="Gill Sans MT" w:eastAsia="Times New Roman" w:hAnsi="Gill Sans MT" w:cs="Times New Roman"/>
          <w:sz w:val="22"/>
        </w:rPr>
        <w:t xml:space="preserve"> et al. [29] reported that 75% of deaths among successfully treated TB patients occurred between years 3 and 5 post-treatment.</w:t>
      </w:r>
    </w:p>
    <w:p w14:paraId="37D43762" w14:textId="77777777" w:rsidR="000B62AD" w:rsidRPr="00915354" w:rsidRDefault="000B62AD" w:rsidP="000B62AD">
      <w:pPr>
        <w:jc w:val="both"/>
        <w:rPr>
          <w:rFonts w:ascii="Gill Sans MT" w:hAnsi="Gill Sans MT"/>
          <w:sz w:val="22"/>
        </w:rPr>
      </w:pPr>
      <w:r w:rsidRPr="00915354">
        <w:rPr>
          <w:rFonts w:ascii="Gill Sans MT" w:eastAsia="Times New Roman" w:hAnsi="Gill Sans MT" w:cs="Times New Roman"/>
          <w:sz w:val="22"/>
        </w:rPr>
        <w:t xml:space="preserve">Several studies documented sustained elevated mortality risk extending beyond the early post-treatment period. </w:t>
      </w:r>
      <w:proofErr w:type="spellStart"/>
      <w:r w:rsidRPr="00915354">
        <w:rPr>
          <w:rFonts w:ascii="Gill Sans MT" w:eastAsia="Times New Roman" w:hAnsi="Gill Sans MT" w:cs="Times New Roman"/>
          <w:sz w:val="22"/>
        </w:rPr>
        <w:t>Moosazadeh</w:t>
      </w:r>
      <w:proofErr w:type="spellEnd"/>
      <w:r w:rsidRPr="00915354">
        <w:rPr>
          <w:rFonts w:ascii="Gill Sans MT" w:eastAsia="Times New Roman" w:hAnsi="Gill Sans MT" w:cs="Times New Roman"/>
          <w:sz w:val="22"/>
        </w:rPr>
        <w:t xml:space="preserve"> et al. [6] reported a median survival of 10.5 years after successful treatment in Iran, with long-term deaths observed over more than 10 years. Joseph et al. [25] found that excess mortality among HIV-positive individuals with prior TB persisted across long-term follow-up (median 10.8 years) in Haiti. </w:t>
      </w:r>
      <w:proofErr w:type="spellStart"/>
      <w:r w:rsidRPr="00915354">
        <w:rPr>
          <w:rFonts w:ascii="Gill Sans MT" w:eastAsia="Times New Roman" w:hAnsi="Gill Sans MT" w:cs="Times New Roman"/>
          <w:sz w:val="22"/>
        </w:rPr>
        <w:t>Shuldiner</w:t>
      </w:r>
      <w:proofErr w:type="spellEnd"/>
      <w:r w:rsidRPr="00915354">
        <w:rPr>
          <w:rFonts w:ascii="Gill Sans MT" w:eastAsia="Times New Roman" w:hAnsi="Gill Sans MT" w:cs="Times New Roman"/>
          <w:sz w:val="22"/>
        </w:rPr>
        <w:t xml:space="preserve"> et al. [24] followed recovered TB cases in Israel for up to 11 years, documenting sustained excess mortality throughout the follow-up period.</w:t>
      </w:r>
    </w:p>
    <w:p w14:paraId="635D8BA2" w14:textId="77777777" w:rsidR="000B62AD" w:rsidRPr="00915354" w:rsidRDefault="000B62AD" w:rsidP="000B62AD">
      <w:pPr>
        <w:jc w:val="both"/>
        <w:rPr>
          <w:rFonts w:ascii="Gill Sans MT" w:hAnsi="Gill Sans MT"/>
          <w:sz w:val="22"/>
        </w:rPr>
      </w:pPr>
      <w:r w:rsidRPr="00915354">
        <w:rPr>
          <w:rFonts w:ascii="Gill Sans MT" w:eastAsia="Times New Roman" w:hAnsi="Gill Sans MT" w:cs="Times New Roman"/>
          <w:sz w:val="22"/>
        </w:rPr>
        <w:t>The timing of deaths varied by subgroup. Zheng et al. [4] reported that HIV-TB coinfected individuals with insufficient TB treatment outcomes (failure, missing, adverse events) died earlier and at higher rates than those with successful outcomes. Frank et al. [27] found that unfavorable end-of-treatment outcomes among XDR-TB patients were strongly associated with subsequent post-treatment death (adjusted OR 14.41).</w:t>
      </w:r>
    </w:p>
    <w:p w14:paraId="16C2A84F" w14:textId="77777777" w:rsidR="000B62AD" w:rsidRPr="00915354" w:rsidRDefault="000B62AD" w:rsidP="000B62AD">
      <w:pPr>
        <w:pStyle w:val="Heading3"/>
        <w:spacing w:before="160" w:after="40"/>
        <w:rPr>
          <w:rFonts w:ascii="Gill Sans MT" w:hAnsi="Gill Sans MT"/>
          <w:color w:val="auto"/>
          <w:sz w:val="22"/>
        </w:rPr>
      </w:pPr>
      <w:r w:rsidRPr="00915354">
        <w:rPr>
          <w:rFonts w:ascii="Gill Sans MT" w:eastAsia="Times New Roman" w:hAnsi="Gill Sans MT" w:cs="Times New Roman"/>
          <w:color w:val="auto"/>
          <w:sz w:val="22"/>
        </w:rPr>
        <w:t>3.5 Predictors of Post-Treatment Mortality</w:t>
      </w:r>
    </w:p>
    <w:p w14:paraId="44BFAC1A" w14:textId="77777777" w:rsidR="000B62AD" w:rsidRPr="00915354" w:rsidRDefault="000B62AD" w:rsidP="007E6C36">
      <w:pPr>
        <w:jc w:val="both"/>
        <w:rPr>
          <w:rFonts w:ascii="Gill Sans MT" w:hAnsi="Gill Sans MT"/>
          <w:sz w:val="22"/>
        </w:rPr>
      </w:pPr>
      <w:r w:rsidRPr="00915354">
        <w:rPr>
          <w:rFonts w:ascii="Gill Sans MT" w:eastAsia="Times New Roman" w:hAnsi="Gill Sans MT" w:cs="Times New Roman"/>
          <w:sz w:val="22"/>
        </w:rPr>
        <w:t>We identified consistent predictors of post-treatment mortality across demographic, clinical,</w:t>
      </w:r>
      <w:r w:rsidR="007E6C36" w:rsidRPr="00915354">
        <w:rPr>
          <w:rFonts w:ascii="Gill Sans MT" w:eastAsia="Times New Roman" w:hAnsi="Gill Sans MT" w:cs="Times New Roman"/>
          <w:sz w:val="22"/>
        </w:rPr>
        <w:t xml:space="preserve"> </w:t>
      </w:r>
      <w:r w:rsidRPr="00915354">
        <w:rPr>
          <w:rFonts w:ascii="Gill Sans MT" w:eastAsia="Times New Roman" w:hAnsi="Gill Sans MT" w:cs="Times New Roman"/>
          <w:sz w:val="22"/>
        </w:rPr>
        <w:t>socioeconomic, and health-system domains.</w:t>
      </w:r>
    </w:p>
    <w:p w14:paraId="083A2D47" w14:textId="77777777" w:rsidR="000B62AD" w:rsidRPr="00915354" w:rsidRDefault="000B62AD" w:rsidP="000B62AD">
      <w:pPr>
        <w:pStyle w:val="Heading4"/>
        <w:spacing w:before="120" w:after="40"/>
        <w:rPr>
          <w:rFonts w:ascii="Gill Sans MT" w:hAnsi="Gill Sans MT"/>
          <w:color w:val="auto"/>
          <w:sz w:val="22"/>
        </w:rPr>
      </w:pPr>
      <w:r w:rsidRPr="00915354">
        <w:rPr>
          <w:rFonts w:ascii="Gill Sans MT" w:eastAsia="Times New Roman" w:hAnsi="Gill Sans MT" w:cs="Times New Roman"/>
          <w:i w:val="0"/>
          <w:color w:val="auto"/>
          <w:sz w:val="22"/>
        </w:rPr>
        <w:t>3.5.1 HIV Co-infection and Immunosuppression</w:t>
      </w:r>
    </w:p>
    <w:p w14:paraId="3AE7A960" w14:textId="77777777" w:rsidR="000B62AD" w:rsidRPr="00915354" w:rsidRDefault="000B62AD" w:rsidP="000B62AD">
      <w:pPr>
        <w:jc w:val="both"/>
        <w:rPr>
          <w:rFonts w:ascii="Gill Sans MT" w:hAnsi="Gill Sans MT"/>
          <w:sz w:val="22"/>
        </w:rPr>
      </w:pPr>
      <w:r w:rsidRPr="00915354">
        <w:rPr>
          <w:rFonts w:ascii="Gill Sans MT" w:eastAsia="Times New Roman" w:hAnsi="Gill Sans MT" w:cs="Times New Roman"/>
          <w:sz w:val="22"/>
        </w:rPr>
        <w:t xml:space="preserve">HIV co-infection was the most consistently reported predictor of post-treatment mortality across multiple studies. </w:t>
      </w:r>
      <w:proofErr w:type="spellStart"/>
      <w:r w:rsidRPr="00915354">
        <w:rPr>
          <w:rFonts w:ascii="Gill Sans MT" w:eastAsia="Times New Roman" w:hAnsi="Gill Sans MT" w:cs="Times New Roman"/>
          <w:sz w:val="22"/>
        </w:rPr>
        <w:t>Salindri</w:t>
      </w:r>
      <w:proofErr w:type="spellEnd"/>
      <w:r w:rsidRPr="00915354">
        <w:rPr>
          <w:rFonts w:ascii="Gill Sans MT" w:eastAsia="Times New Roman" w:hAnsi="Gill Sans MT" w:cs="Times New Roman"/>
          <w:sz w:val="22"/>
        </w:rPr>
        <w:t xml:space="preserve"> et al. [14] found that HIV co-infection was associated with a 3.74-fold higher risk of post-TB mortality among RR/MDR-TB patients (</w:t>
      </w:r>
      <w:proofErr w:type="spellStart"/>
      <w:r w:rsidRPr="00915354">
        <w:rPr>
          <w:rFonts w:ascii="Gill Sans MT" w:eastAsia="Times New Roman" w:hAnsi="Gill Sans MT" w:cs="Times New Roman"/>
          <w:sz w:val="22"/>
        </w:rPr>
        <w:t>aHR</w:t>
      </w:r>
      <w:proofErr w:type="spellEnd"/>
      <w:r w:rsidRPr="00915354">
        <w:rPr>
          <w:rFonts w:ascii="Gill Sans MT" w:eastAsia="Times New Roman" w:hAnsi="Gill Sans MT" w:cs="Times New Roman"/>
          <w:sz w:val="22"/>
        </w:rPr>
        <w:t xml:space="preserve"> 3.74). </w:t>
      </w:r>
      <w:proofErr w:type="spellStart"/>
      <w:r w:rsidRPr="00915354">
        <w:rPr>
          <w:rFonts w:ascii="Gill Sans MT" w:eastAsia="Times New Roman" w:hAnsi="Gill Sans MT" w:cs="Times New Roman"/>
          <w:sz w:val="22"/>
        </w:rPr>
        <w:t>Lumu</w:t>
      </w:r>
      <w:proofErr w:type="spellEnd"/>
      <w:r w:rsidRPr="00915354">
        <w:rPr>
          <w:rFonts w:ascii="Gill Sans MT" w:eastAsia="Times New Roman" w:hAnsi="Gill Sans MT" w:cs="Times New Roman"/>
          <w:sz w:val="22"/>
        </w:rPr>
        <w:t xml:space="preserve"> et al. [2] reported that CD4 count &lt;200 cells/µL was a strong predictor of all-cause mortality among ART-experienced people living with HIV who completed TB treatment (</w:t>
      </w:r>
      <w:proofErr w:type="spellStart"/>
      <w:r w:rsidRPr="00915354">
        <w:rPr>
          <w:rFonts w:ascii="Gill Sans MT" w:eastAsia="Times New Roman" w:hAnsi="Gill Sans MT" w:cs="Times New Roman"/>
          <w:sz w:val="22"/>
        </w:rPr>
        <w:t>aHR</w:t>
      </w:r>
      <w:proofErr w:type="spellEnd"/>
      <w:r w:rsidRPr="00915354">
        <w:rPr>
          <w:rFonts w:ascii="Gill Sans MT" w:eastAsia="Times New Roman" w:hAnsi="Gill Sans MT" w:cs="Times New Roman"/>
          <w:sz w:val="22"/>
        </w:rPr>
        <w:t xml:space="preserve"> 1.81, 95% CI 1.06–3.11). Zheng et al. [4] identified CD4 ≤200 cells/µL and ART-naïve status as predictors of higher mortality among HIV-TB coinfected patients in China. Joseph et al. [25] found that prior TB remained an independent predictor of long-term mortality among people living with HIV in Haiti (HR 2.78, 95% CI 1.61–4.79).</w:t>
      </w:r>
    </w:p>
    <w:p w14:paraId="6459A4A2" w14:textId="77777777" w:rsidR="000B62AD" w:rsidRPr="00915354" w:rsidRDefault="000B62AD" w:rsidP="000B62AD">
      <w:pPr>
        <w:pStyle w:val="Heading4"/>
        <w:spacing w:before="120" w:after="40"/>
        <w:rPr>
          <w:rFonts w:ascii="Gill Sans MT" w:hAnsi="Gill Sans MT"/>
          <w:color w:val="auto"/>
          <w:sz w:val="22"/>
        </w:rPr>
      </w:pPr>
      <w:r w:rsidRPr="00915354">
        <w:rPr>
          <w:rFonts w:ascii="Gill Sans MT" w:eastAsia="Times New Roman" w:hAnsi="Gill Sans MT" w:cs="Times New Roman"/>
          <w:i w:val="0"/>
          <w:color w:val="auto"/>
          <w:sz w:val="22"/>
        </w:rPr>
        <w:t>3.5.2 Prior TB and Treatment History</w:t>
      </w:r>
    </w:p>
    <w:p w14:paraId="5E0DD61B" w14:textId="77777777" w:rsidR="000B62AD" w:rsidRPr="00915354" w:rsidRDefault="000B62AD" w:rsidP="000B62AD">
      <w:pPr>
        <w:jc w:val="both"/>
        <w:rPr>
          <w:rFonts w:ascii="Gill Sans MT" w:hAnsi="Gill Sans MT"/>
          <w:sz w:val="22"/>
        </w:rPr>
      </w:pPr>
      <w:r w:rsidRPr="00915354">
        <w:rPr>
          <w:rFonts w:ascii="Gill Sans MT" w:eastAsia="Times New Roman" w:hAnsi="Gill Sans MT" w:cs="Times New Roman"/>
          <w:sz w:val="22"/>
        </w:rPr>
        <w:t xml:space="preserve">History of prior TB or retreatment was consistently associated with increased post-treatment mortality. </w:t>
      </w:r>
      <w:proofErr w:type="spellStart"/>
      <w:r w:rsidRPr="00915354">
        <w:rPr>
          <w:rFonts w:ascii="Gill Sans MT" w:eastAsia="Times New Roman" w:hAnsi="Gill Sans MT" w:cs="Times New Roman"/>
          <w:sz w:val="22"/>
        </w:rPr>
        <w:t>Lumu</w:t>
      </w:r>
      <w:proofErr w:type="spellEnd"/>
      <w:r w:rsidRPr="00915354">
        <w:rPr>
          <w:rFonts w:ascii="Gill Sans MT" w:eastAsia="Times New Roman" w:hAnsi="Gill Sans MT" w:cs="Times New Roman"/>
          <w:sz w:val="22"/>
        </w:rPr>
        <w:t xml:space="preserve"> et al. [2] reported that a history of TB was a significant predictor of mortality (</w:t>
      </w:r>
      <w:proofErr w:type="spellStart"/>
      <w:r w:rsidRPr="00915354">
        <w:rPr>
          <w:rFonts w:ascii="Gill Sans MT" w:eastAsia="Times New Roman" w:hAnsi="Gill Sans MT" w:cs="Times New Roman"/>
          <w:sz w:val="22"/>
        </w:rPr>
        <w:t>aHR</w:t>
      </w:r>
      <w:proofErr w:type="spellEnd"/>
      <w:r w:rsidRPr="00915354">
        <w:rPr>
          <w:rFonts w:ascii="Gill Sans MT" w:eastAsia="Times New Roman" w:hAnsi="Gill Sans MT" w:cs="Times New Roman"/>
          <w:sz w:val="22"/>
        </w:rPr>
        <w:t xml:space="preserve"> 2.12, 95% CI 1.16–3.85). </w:t>
      </w:r>
      <w:proofErr w:type="spellStart"/>
      <w:r w:rsidRPr="00915354">
        <w:rPr>
          <w:rFonts w:ascii="Gill Sans MT" w:eastAsia="Times New Roman" w:hAnsi="Gill Sans MT" w:cs="Times New Roman"/>
          <w:sz w:val="22"/>
        </w:rPr>
        <w:t>Moosazadeh</w:t>
      </w:r>
      <w:proofErr w:type="spellEnd"/>
      <w:r w:rsidRPr="00915354">
        <w:rPr>
          <w:rFonts w:ascii="Gill Sans MT" w:eastAsia="Times New Roman" w:hAnsi="Gill Sans MT" w:cs="Times New Roman"/>
          <w:sz w:val="22"/>
        </w:rPr>
        <w:t xml:space="preserve"> et al. [6] found that previous TB treatment predicted post-treatment mortality in </w:t>
      </w:r>
      <w:r w:rsidRPr="00915354">
        <w:rPr>
          <w:rFonts w:ascii="Gill Sans MT" w:eastAsia="Times New Roman" w:hAnsi="Gill Sans MT" w:cs="Times New Roman"/>
          <w:sz w:val="22"/>
        </w:rPr>
        <w:lastRenderedPageBreak/>
        <w:t>Iran. Frank et al. [27] documented that unfavorable end-of-treatment outcomes among XDR-TB patients were strongly associated with subsequent death (adjusted OR 14.41).</w:t>
      </w:r>
    </w:p>
    <w:p w14:paraId="53DBC24B" w14:textId="77777777" w:rsidR="000B62AD" w:rsidRPr="00915354" w:rsidRDefault="000B62AD" w:rsidP="000B62AD">
      <w:pPr>
        <w:pStyle w:val="Heading4"/>
        <w:spacing w:before="120" w:after="40"/>
        <w:rPr>
          <w:rFonts w:ascii="Gill Sans MT" w:hAnsi="Gill Sans MT"/>
          <w:color w:val="auto"/>
          <w:sz w:val="22"/>
        </w:rPr>
      </w:pPr>
      <w:r w:rsidRPr="00915354">
        <w:rPr>
          <w:rFonts w:ascii="Gill Sans MT" w:eastAsia="Times New Roman" w:hAnsi="Gill Sans MT" w:cs="Times New Roman"/>
          <w:i w:val="0"/>
          <w:color w:val="auto"/>
          <w:sz w:val="22"/>
        </w:rPr>
        <w:t>3.5.3 Age</w:t>
      </w:r>
    </w:p>
    <w:p w14:paraId="30B99415" w14:textId="77777777" w:rsidR="000B62AD" w:rsidRPr="00915354" w:rsidRDefault="000B62AD" w:rsidP="000B62AD">
      <w:pPr>
        <w:jc w:val="both"/>
        <w:rPr>
          <w:rFonts w:ascii="Gill Sans MT" w:hAnsi="Gill Sans MT"/>
          <w:sz w:val="22"/>
        </w:rPr>
      </w:pPr>
      <w:r w:rsidRPr="00915354">
        <w:rPr>
          <w:rFonts w:ascii="Gill Sans MT" w:eastAsia="Times New Roman" w:hAnsi="Gill Sans MT" w:cs="Times New Roman"/>
          <w:sz w:val="22"/>
        </w:rPr>
        <w:t xml:space="preserve">Older age was a consistent predictor across multiple studies. </w:t>
      </w:r>
      <w:proofErr w:type="spellStart"/>
      <w:r w:rsidRPr="00915354">
        <w:rPr>
          <w:rFonts w:ascii="Gill Sans MT" w:eastAsia="Times New Roman" w:hAnsi="Gill Sans MT" w:cs="Times New Roman"/>
          <w:sz w:val="22"/>
        </w:rPr>
        <w:t>Moosazadeh</w:t>
      </w:r>
      <w:proofErr w:type="spellEnd"/>
      <w:r w:rsidRPr="00915354">
        <w:rPr>
          <w:rFonts w:ascii="Gill Sans MT" w:eastAsia="Times New Roman" w:hAnsi="Gill Sans MT" w:cs="Times New Roman"/>
          <w:sz w:val="22"/>
        </w:rPr>
        <w:t xml:space="preserve"> et al. [6] identified advancing age as a predictor of post-treatment mortality in Iran. </w:t>
      </w:r>
      <w:proofErr w:type="spellStart"/>
      <w:r w:rsidRPr="00915354">
        <w:rPr>
          <w:rFonts w:ascii="Gill Sans MT" w:eastAsia="Times New Roman" w:hAnsi="Gill Sans MT" w:cs="Times New Roman"/>
          <w:sz w:val="22"/>
        </w:rPr>
        <w:t>Hugara</w:t>
      </w:r>
      <w:proofErr w:type="spellEnd"/>
      <w:r w:rsidRPr="00915354">
        <w:rPr>
          <w:rFonts w:ascii="Gill Sans MT" w:eastAsia="Times New Roman" w:hAnsi="Gill Sans MT" w:cs="Times New Roman"/>
          <w:sz w:val="22"/>
        </w:rPr>
        <w:t xml:space="preserve"> et al. [29] found that age &gt;60 years was associated with higher mortality in India, with the 5-year survival rate dropping to 62.9% for those over 60 compared to 86.7% overall. Zheng et al. [4] reported that age ≥50 years was a predictor of mortality among HIV-TB coinfected patients in China. </w:t>
      </w:r>
      <w:proofErr w:type="spellStart"/>
      <w:r w:rsidRPr="00915354">
        <w:rPr>
          <w:rFonts w:ascii="Gill Sans MT" w:eastAsia="Times New Roman" w:hAnsi="Gill Sans MT" w:cs="Times New Roman"/>
          <w:sz w:val="22"/>
        </w:rPr>
        <w:t>Shuldiner</w:t>
      </w:r>
      <w:proofErr w:type="spellEnd"/>
      <w:r w:rsidRPr="00915354">
        <w:rPr>
          <w:rFonts w:ascii="Gill Sans MT" w:eastAsia="Times New Roman" w:hAnsi="Gill Sans MT" w:cs="Times New Roman"/>
          <w:sz w:val="22"/>
        </w:rPr>
        <w:t xml:space="preserve"> et al. [24] found that SMR was highest among individuals aged 25–44 years in Israel.</w:t>
      </w:r>
    </w:p>
    <w:p w14:paraId="5A72C57D" w14:textId="77777777" w:rsidR="000B62AD" w:rsidRPr="00915354" w:rsidRDefault="000B62AD" w:rsidP="000B62AD">
      <w:pPr>
        <w:pStyle w:val="Heading4"/>
        <w:spacing w:before="120" w:after="40"/>
        <w:rPr>
          <w:rFonts w:ascii="Gill Sans MT" w:hAnsi="Gill Sans MT"/>
          <w:color w:val="auto"/>
          <w:sz w:val="22"/>
        </w:rPr>
      </w:pPr>
      <w:r w:rsidRPr="00915354">
        <w:rPr>
          <w:rFonts w:ascii="Gill Sans MT" w:eastAsia="Times New Roman" w:hAnsi="Gill Sans MT" w:cs="Times New Roman"/>
          <w:i w:val="0"/>
          <w:color w:val="auto"/>
          <w:sz w:val="22"/>
        </w:rPr>
        <w:t>3.5.4 Comorbidities</w:t>
      </w:r>
    </w:p>
    <w:p w14:paraId="000F40C7" w14:textId="77777777" w:rsidR="000B62AD" w:rsidRPr="00915354" w:rsidRDefault="000B62AD" w:rsidP="000B62AD">
      <w:pPr>
        <w:jc w:val="both"/>
        <w:rPr>
          <w:rFonts w:ascii="Gill Sans MT" w:hAnsi="Gill Sans MT"/>
          <w:sz w:val="22"/>
        </w:rPr>
      </w:pPr>
      <w:r w:rsidRPr="00915354">
        <w:rPr>
          <w:rFonts w:ascii="Gill Sans MT" w:eastAsia="Times New Roman" w:hAnsi="Gill Sans MT" w:cs="Times New Roman"/>
          <w:sz w:val="22"/>
        </w:rPr>
        <w:t xml:space="preserve">Multiple comorbidities were associated with increased post-treatment mortality. Diabetes mellitus was identified as a predictor in several studies [10], [21], [29]. </w:t>
      </w:r>
      <w:proofErr w:type="spellStart"/>
      <w:r w:rsidRPr="00915354">
        <w:rPr>
          <w:rFonts w:ascii="Gill Sans MT" w:eastAsia="Times New Roman" w:hAnsi="Gill Sans MT" w:cs="Times New Roman"/>
          <w:sz w:val="22"/>
        </w:rPr>
        <w:t>Hugara</w:t>
      </w:r>
      <w:proofErr w:type="spellEnd"/>
      <w:r w:rsidRPr="00915354">
        <w:rPr>
          <w:rFonts w:ascii="Gill Sans MT" w:eastAsia="Times New Roman" w:hAnsi="Gill Sans MT" w:cs="Times New Roman"/>
          <w:sz w:val="22"/>
        </w:rPr>
        <w:t xml:space="preserve"> et al. [29] found that diabetes was associated with higher mortality, with mean survival reduced by 7.5 months among diabetic patients. </w:t>
      </w:r>
      <w:proofErr w:type="spellStart"/>
      <w:r w:rsidRPr="00915354">
        <w:rPr>
          <w:rFonts w:ascii="Gill Sans MT" w:eastAsia="Times New Roman" w:hAnsi="Gill Sans MT" w:cs="Times New Roman"/>
          <w:sz w:val="22"/>
        </w:rPr>
        <w:t>Gorvetzian</w:t>
      </w:r>
      <w:proofErr w:type="spellEnd"/>
      <w:r w:rsidRPr="00915354">
        <w:rPr>
          <w:rFonts w:ascii="Gill Sans MT" w:eastAsia="Times New Roman" w:hAnsi="Gill Sans MT" w:cs="Times New Roman"/>
          <w:sz w:val="22"/>
        </w:rPr>
        <w:t xml:space="preserve"> et al. [21] reported that diabetes and end-stage renal disease were associated with increased post-TB mortality risk in Georgia, USA. </w:t>
      </w:r>
      <w:proofErr w:type="spellStart"/>
      <w:r w:rsidRPr="00915354">
        <w:rPr>
          <w:rFonts w:ascii="Gill Sans MT" w:eastAsia="Times New Roman" w:hAnsi="Gill Sans MT" w:cs="Times New Roman"/>
          <w:sz w:val="22"/>
        </w:rPr>
        <w:t>Moosazadeh</w:t>
      </w:r>
      <w:proofErr w:type="spellEnd"/>
      <w:r w:rsidRPr="00915354">
        <w:rPr>
          <w:rFonts w:ascii="Gill Sans MT" w:eastAsia="Times New Roman" w:hAnsi="Gill Sans MT" w:cs="Times New Roman"/>
          <w:sz w:val="22"/>
        </w:rPr>
        <w:t xml:space="preserve"> et al. [6] identified kidney failure and cancer as predictors of post-treatment mortality in Iran.</w:t>
      </w:r>
    </w:p>
    <w:p w14:paraId="6434C923" w14:textId="77777777" w:rsidR="000B62AD" w:rsidRPr="00915354" w:rsidRDefault="000B62AD" w:rsidP="000B62AD">
      <w:pPr>
        <w:pStyle w:val="Heading4"/>
        <w:spacing w:before="120" w:after="40"/>
        <w:rPr>
          <w:rFonts w:ascii="Gill Sans MT" w:hAnsi="Gill Sans MT"/>
          <w:color w:val="auto"/>
          <w:sz w:val="22"/>
        </w:rPr>
      </w:pPr>
      <w:r w:rsidRPr="00915354">
        <w:rPr>
          <w:rFonts w:ascii="Gill Sans MT" w:eastAsia="Times New Roman" w:hAnsi="Gill Sans MT" w:cs="Times New Roman"/>
          <w:i w:val="0"/>
          <w:color w:val="auto"/>
          <w:sz w:val="22"/>
        </w:rPr>
        <w:t>3.5.5 Socioeconomic Factors</w:t>
      </w:r>
    </w:p>
    <w:p w14:paraId="5815426B" w14:textId="77777777" w:rsidR="000B62AD" w:rsidRPr="00915354" w:rsidRDefault="000B62AD" w:rsidP="000B62AD">
      <w:pPr>
        <w:jc w:val="both"/>
        <w:rPr>
          <w:rFonts w:ascii="Gill Sans MT" w:hAnsi="Gill Sans MT"/>
          <w:sz w:val="22"/>
        </w:rPr>
      </w:pPr>
      <w:r w:rsidRPr="00915354">
        <w:rPr>
          <w:rFonts w:ascii="Gill Sans MT" w:eastAsia="Times New Roman" w:hAnsi="Gill Sans MT" w:cs="Times New Roman"/>
          <w:sz w:val="22"/>
        </w:rPr>
        <w:t xml:space="preserve">Socioeconomic vulnerability emerged as a critical predictor. </w:t>
      </w:r>
      <w:proofErr w:type="spellStart"/>
      <w:r w:rsidRPr="00915354">
        <w:rPr>
          <w:rFonts w:ascii="Gill Sans MT" w:eastAsia="Times New Roman" w:hAnsi="Gill Sans MT" w:cs="Times New Roman"/>
          <w:sz w:val="22"/>
        </w:rPr>
        <w:t>Baluku</w:t>
      </w:r>
      <w:proofErr w:type="spellEnd"/>
      <w:r w:rsidRPr="00915354">
        <w:rPr>
          <w:rFonts w:ascii="Gill Sans MT" w:eastAsia="Times New Roman" w:hAnsi="Gill Sans MT" w:cs="Times New Roman"/>
          <w:sz w:val="22"/>
        </w:rPr>
        <w:t xml:space="preserve"> et al. [1] found that unemployment at the time of TB treatment initiation was associated with a 7.04-fold higher risk of post-treatment mortality (</w:t>
      </w:r>
      <w:proofErr w:type="spellStart"/>
      <w:r w:rsidRPr="00915354">
        <w:rPr>
          <w:rFonts w:ascii="Gill Sans MT" w:eastAsia="Times New Roman" w:hAnsi="Gill Sans MT" w:cs="Times New Roman"/>
          <w:sz w:val="22"/>
        </w:rPr>
        <w:t>aHR</w:t>
      </w:r>
      <w:proofErr w:type="spellEnd"/>
      <w:r w:rsidRPr="00915354">
        <w:rPr>
          <w:rFonts w:ascii="Gill Sans MT" w:eastAsia="Times New Roman" w:hAnsi="Gill Sans MT" w:cs="Times New Roman"/>
          <w:sz w:val="22"/>
        </w:rPr>
        <w:t xml:space="preserve"> 7.04, 95% CI 1.5–31.6) among pulmonary TB survivors in Uganda. Zheng et al. [4] reported that being a farmer was associated with higher mortality among HIV-TB coinfected patients in China.</w:t>
      </w:r>
    </w:p>
    <w:p w14:paraId="42A1F044" w14:textId="77777777" w:rsidR="000B62AD" w:rsidRPr="00915354" w:rsidRDefault="000B62AD" w:rsidP="000B62AD">
      <w:pPr>
        <w:pStyle w:val="Heading4"/>
        <w:spacing w:before="120" w:after="40"/>
        <w:rPr>
          <w:rFonts w:ascii="Gill Sans MT" w:hAnsi="Gill Sans MT"/>
          <w:color w:val="auto"/>
          <w:sz w:val="22"/>
        </w:rPr>
      </w:pPr>
      <w:r w:rsidRPr="00915354">
        <w:rPr>
          <w:rFonts w:ascii="Gill Sans MT" w:eastAsia="Times New Roman" w:hAnsi="Gill Sans MT" w:cs="Times New Roman"/>
          <w:i w:val="0"/>
          <w:color w:val="auto"/>
          <w:sz w:val="22"/>
        </w:rPr>
        <w:t>3.5.6 Behavioral Factors</w:t>
      </w:r>
    </w:p>
    <w:p w14:paraId="598B4209" w14:textId="77777777" w:rsidR="000B62AD" w:rsidRPr="00915354" w:rsidRDefault="000B62AD" w:rsidP="000B62AD">
      <w:pPr>
        <w:jc w:val="both"/>
        <w:rPr>
          <w:rFonts w:ascii="Gill Sans MT" w:hAnsi="Gill Sans MT"/>
          <w:sz w:val="22"/>
        </w:rPr>
      </w:pPr>
      <w:r w:rsidRPr="00915354">
        <w:rPr>
          <w:rFonts w:ascii="Gill Sans MT" w:eastAsia="Times New Roman" w:hAnsi="Gill Sans MT" w:cs="Times New Roman"/>
          <w:sz w:val="22"/>
        </w:rPr>
        <w:t xml:space="preserve">Smoking and alcohol use were associated with increased mortality. </w:t>
      </w:r>
      <w:proofErr w:type="spellStart"/>
      <w:r w:rsidRPr="00915354">
        <w:rPr>
          <w:rFonts w:ascii="Gill Sans MT" w:eastAsia="Times New Roman" w:hAnsi="Gill Sans MT" w:cs="Times New Roman"/>
          <w:sz w:val="22"/>
        </w:rPr>
        <w:t>Hugara</w:t>
      </w:r>
      <w:proofErr w:type="spellEnd"/>
      <w:r w:rsidRPr="00915354">
        <w:rPr>
          <w:rFonts w:ascii="Gill Sans MT" w:eastAsia="Times New Roman" w:hAnsi="Gill Sans MT" w:cs="Times New Roman"/>
          <w:sz w:val="22"/>
        </w:rPr>
        <w:t xml:space="preserve"> et al. [29] found that alcoholism and smoking history were predictors of mortality in India, with mean survival reduced by 6.8 months among smokers and 8.2 months among alcoholics. </w:t>
      </w:r>
      <w:proofErr w:type="spellStart"/>
      <w:r w:rsidRPr="00915354">
        <w:rPr>
          <w:rFonts w:ascii="Gill Sans MT" w:eastAsia="Times New Roman" w:hAnsi="Gill Sans MT" w:cs="Times New Roman"/>
          <w:sz w:val="22"/>
        </w:rPr>
        <w:t>Gorvetzian</w:t>
      </w:r>
      <w:proofErr w:type="spellEnd"/>
      <w:r w:rsidRPr="00915354">
        <w:rPr>
          <w:rFonts w:ascii="Gill Sans MT" w:eastAsia="Times New Roman" w:hAnsi="Gill Sans MT" w:cs="Times New Roman"/>
          <w:sz w:val="22"/>
        </w:rPr>
        <w:t xml:space="preserve"> et al. [21] reported that excess alcohol use was associated with increased post-TB mortality risk in Georgia, USA.</w:t>
      </w:r>
    </w:p>
    <w:p w14:paraId="4E712B3C" w14:textId="77777777" w:rsidR="000B62AD" w:rsidRPr="00915354" w:rsidRDefault="000B62AD" w:rsidP="000B62AD">
      <w:pPr>
        <w:pStyle w:val="Heading4"/>
        <w:spacing w:before="120" w:after="40"/>
        <w:rPr>
          <w:rFonts w:ascii="Gill Sans MT" w:hAnsi="Gill Sans MT"/>
          <w:color w:val="auto"/>
          <w:sz w:val="22"/>
        </w:rPr>
      </w:pPr>
      <w:r w:rsidRPr="00915354">
        <w:rPr>
          <w:rFonts w:ascii="Gill Sans MT" w:eastAsia="Times New Roman" w:hAnsi="Gill Sans MT" w:cs="Times New Roman"/>
          <w:i w:val="0"/>
          <w:color w:val="auto"/>
          <w:sz w:val="22"/>
        </w:rPr>
        <w:t>3.5.7 Hospitalization and Disease Severity</w:t>
      </w:r>
    </w:p>
    <w:p w14:paraId="66948013" w14:textId="77777777" w:rsidR="000B62AD" w:rsidRPr="00915354" w:rsidRDefault="000B62AD" w:rsidP="000B62AD">
      <w:pPr>
        <w:jc w:val="both"/>
        <w:rPr>
          <w:rFonts w:ascii="Gill Sans MT" w:hAnsi="Gill Sans MT"/>
          <w:sz w:val="22"/>
        </w:rPr>
      </w:pPr>
      <w:r w:rsidRPr="00915354">
        <w:rPr>
          <w:rFonts w:ascii="Gill Sans MT" w:eastAsia="Times New Roman" w:hAnsi="Gill Sans MT" w:cs="Times New Roman"/>
          <w:sz w:val="22"/>
        </w:rPr>
        <w:t xml:space="preserve">Hospitalization at TB treatment initiation was a strong predictor of subsequent mortality. </w:t>
      </w:r>
      <w:proofErr w:type="spellStart"/>
      <w:r w:rsidRPr="00915354">
        <w:rPr>
          <w:rFonts w:ascii="Gill Sans MT" w:eastAsia="Times New Roman" w:hAnsi="Gill Sans MT" w:cs="Times New Roman"/>
          <w:sz w:val="22"/>
        </w:rPr>
        <w:t>Baluku</w:t>
      </w:r>
      <w:proofErr w:type="spellEnd"/>
      <w:r w:rsidRPr="00915354">
        <w:rPr>
          <w:rFonts w:ascii="Gill Sans MT" w:eastAsia="Times New Roman" w:hAnsi="Gill Sans MT" w:cs="Times New Roman"/>
          <w:sz w:val="22"/>
        </w:rPr>
        <w:t xml:space="preserve"> et al. [1] found that hospitalization was associated with a 4.3-fold higher risk of post-treatment mortality (</w:t>
      </w:r>
      <w:proofErr w:type="spellStart"/>
      <w:r w:rsidRPr="00915354">
        <w:rPr>
          <w:rFonts w:ascii="Gill Sans MT" w:eastAsia="Times New Roman" w:hAnsi="Gill Sans MT" w:cs="Times New Roman"/>
          <w:sz w:val="22"/>
        </w:rPr>
        <w:t>aHR</w:t>
      </w:r>
      <w:proofErr w:type="spellEnd"/>
      <w:r w:rsidRPr="00915354">
        <w:rPr>
          <w:rFonts w:ascii="Gill Sans MT" w:eastAsia="Times New Roman" w:hAnsi="Gill Sans MT" w:cs="Times New Roman"/>
          <w:sz w:val="22"/>
        </w:rPr>
        <w:t xml:space="preserve"> 4.3, 95% CI 1.1–16.6) in Uganda.</w:t>
      </w:r>
    </w:p>
    <w:p w14:paraId="6A024C97" w14:textId="77777777" w:rsidR="000B62AD" w:rsidRPr="00915354" w:rsidRDefault="000B62AD" w:rsidP="000B62AD">
      <w:pPr>
        <w:pStyle w:val="Heading4"/>
        <w:spacing w:before="120" w:after="40"/>
        <w:rPr>
          <w:rFonts w:ascii="Gill Sans MT" w:hAnsi="Gill Sans MT"/>
          <w:color w:val="auto"/>
          <w:sz w:val="22"/>
        </w:rPr>
      </w:pPr>
      <w:r w:rsidRPr="00915354">
        <w:rPr>
          <w:rFonts w:ascii="Gill Sans MT" w:eastAsia="Times New Roman" w:hAnsi="Gill Sans MT" w:cs="Times New Roman"/>
          <w:i w:val="0"/>
          <w:color w:val="auto"/>
          <w:sz w:val="22"/>
        </w:rPr>
        <w:t>3.5.8 Drug Resistance</w:t>
      </w:r>
    </w:p>
    <w:p w14:paraId="75412813" w14:textId="77777777" w:rsidR="000B62AD" w:rsidRPr="00915354" w:rsidRDefault="000B62AD" w:rsidP="000B62AD">
      <w:pPr>
        <w:jc w:val="both"/>
        <w:rPr>
          <w:rFonts w:ascii="Gill Sans MT" w:hAnsi="Gill Sans MT"/>
          <w:sz w:val="22"/>
        </w:rPr>
      </w:pPr>
      <w:r w:rsidRPr="00915354">
        <w:rPr>
          <w:rFonts w:ascii="Gill Sans MT" w:eastAsia="Times New Roman" w:hAnsi="Gill Sans MT" w:cs="Times New Roman"/>
          <w:sz w:val="22"/>
        </w:rPr>
        <w:t>Drug-resistant TB was associated with higher post-treatment mortality in specialized cohorts [3], [8], [14], [18], [27], though the magnitude varied by resistance pattern and treatment outcomes.</w:t>
      </w:r>
    </w:p>
    <w:p w14:paraId="5FAB5E55" w14:textId="77777777" w:rsidR="000B62AD" w:rsidRPr="002D088E" w:rsidRDefault="000B62AD" w:rsidP="000B62AD">
      <w:pPr>
        <w:jc w:val="both"/>
        <w:rPr>
          <w:rFonts w:ascii="Gill Sans MT" w:hAnsi="Gill Sans MT"/>
          <w:b/>
          <w:bCs/>
          <w:sz w:val="22"/>
        </w:rPr>
      </w:pPr>
      <w:r w:rsidRPr="007E6C36">
        <w:rPr>
          <w:rFonts w:ascii="Gill Sans MT" w:eastAsia="Times New Roman" w:hAnsi="Gill Sans MT" w:cs="Times New Roman"/>
          <w:sz w:val="22"/>
        </w:rPr>
        <w:t xml:space="preserve">A synthesis of key predictors and their effect estimates is presented in </w:t>
      </w:r>
      <w:r w:rsidRPr="002D088E">
        <w:rPr>
          <w:rFonts w:ascii="Gill Sans MT" w:eastAsia="Times New Roman" w:hAnsi="Gill Sans MT" w:cs="Times New Roman"/>
          <w:b/>
          <w:bCs/>
          <w:sz w:val="22"/>
        </w:rPr>
        <w:t>Table 2.</w:t>
      </w:r>
    </w:p>
    <w:p w14:paraId="4C4EBF6A" w14:textId="77777777" w:rsidR="000B62AD" w:rsidRPr="007E6C36" w:rsidRDefault="000B62AD" w:rsidP="000B62AD">
      <w:pPr>
        <w:spacing w:before="160" w:after="80"/>
        <w:rPr>
          <w:rFonts w:ascii="Gill Sans MT" w:hAnsi="Gill Sans MT"/>
          <w:sz w:val="22"/>
        </w:rPr>
      </w:pPr>
      <w:r w:rsidRPr="007E6C36">
        <w:rPr>
          <w:rFonts w:ascii="Gill Sans MT" w:eastAsia="Times New Roman" w:hAnsi="Gill Sans MT" w:cs="Times New Roman"/>
          <w:b/>
          <w:sz w:val="22"/>
        </w:rPr>
        <w:t>Table 2. Summary of Key Predictors of Post-Treatment Mortality</w:t>
      </w:r>
    </w:p>
    <w:tbl>
      <w:tblPr>
        <w:tblStyle w:val="TableGrid"/>
        <w:tblW w:w="0" w:type="auto"/>
        <w:jc w:val="center"/>
        <w:tblLook w:val="04A0" w:firstRow="1" w:lastRow="0" w:firstColumn="1" w:lastColumn="0" w:noHBand="0" w:noVBand="1"/>
      </w:tblPr>
      <w:tblGrid>
        <w:gridCol w:w="2304"/>
        <w:gridCol w:w="2268"/>
        <w:gridCol w:w="2324"/>
        <w:gridCol w:w="2268"/>
      </w:tblGrid>
      <w:tr w:rsidR="000B62AD" w:rsidRPr="007E6C36" w14:paraId="0049340F" w14:textId="77777777" w:rsidTr="00B015AF">
        <w:trPr>
          <w:jc w:val="center"/>
        </w:trPr>
        <w:tc>
          <w:tcPr>
            <w:tcW w:w="1701" w:type="dxa"/>
            <w:vAlign w:val="center"/>
          </w:tcPr>
          <w:p w14:paraId="04122BDD" w14:textId="77777777" w:rsidR="000B62AD" w:rsidRPr="007E6C36" w:rsidRDefault="000B62AD" w:rsidP="00B015AF">
            <w:pPr>
              <w:spacing w:before="20" w:after="20"/>
              <w:rPr>
                <w:rFonts w:ascii="Gill Sans MT" w:hAnsi="Gill Sans MT"/>
                <w:sz w:val="22"/>
              </w:rPr>
            </w:pPr>
            <w:r w:rsidRPr="007E6C36">
              <w:rPr>
                <w:rFonts w:ascii="Gill Sans MT" w:eastAsia="Times New Roman" w:hAnsi="Gill Sans MT" w:cs="Times New Roman"/>
                <w:b/>
                <w:sz w:val="22"/>
              </w:rPr>
              <w:t>Predictor Category</w:t>
            </w:r>
          </w:p>
        </w:tc>
        <w:tc>
          <w:tcPr>
            <w:tcW w:w="2268" w:type="dxa"/>
            <w:vAlign w:val="center"/>
          </w:tcPr>
          <w:p w14:paraId="48297568" w14:textId="77777777" w:rsidR="000B62AD" w:rsidRPr="007E6C36" w:rsidRDefault="000B62AD" w:rsidP="00B015AF">
            <w:pPr>
              <w:spacing w:before="20" w:after="20"/>
              <w:rPr>
                <w:rFonts w:ascii="Gill Sans MT" w:hAnsi="Gill Sans MT"/>
                <w:sz w:val="22"/>
              </w:rPr>
            </w:pPr>
            <w:r w:rsidRPr="007E6C36">
              <w:rPr>
                <w:rFonts w:ascii="Gill Sans MT" w:eastAsia="Times New Roman" w:hAnsi="Gill Sans MT" w:cs="Times New Roman"/>
                <w:b/>
                <w:sz w:val="22"/>
              </w:rPr>
              <w:t>Specific Factor</w:t>
            </w:r>
          </w:p>
        </w:tc>
        <w:tc>
          <w:tcPr>
            <w:tcW w:w="2324" w:type="dxa"/>
            <w:vAlign w:val="center"/>
          </w:tcPr>
          <w:p w14:paraId="7989F27E" w14:textId="77777777" w:rsidR="000B62AD" w:rsidRPr="007E6C36" w:rsidRDefault="000B62AD" w:rsidP="00B015AF">
            <w:pPr>
              <w:spacing w:before="20" w:after="20"/>
              <w:rPr>
                <w:rFonts w:ascii="Gill Sans MT" w:hAnsi="Gill Sans MT"/>
                <w:sz w:val="22"/>
              </w:rPr>
            </w:pPr>
            <w:r w:rsidRPr="007E6C36">
              <w:rPr>
                <w:rFonts w:ascii="Gill Sans MT" w:eastAsia="Times New Roman" w:hAnsi="Gill Sans MT" w:cs="Times New Roman"/>
                <w:b/>
                <w:sz w:val="22"/>
              </w:rPr>
              <w:t>Effect Estimate (95% CI)</w:t>
            </w:r>
          </w:p>
        </w:tc>
        <w:tc>
          <w:tcPr>
            <w:tcW w:w="2268" w:type="dxa"/>
            <w:vAlign w:val="center"/>
          </w:tcPr>
          <w:p w14:paraId="3C28B233" w14:textId="77777777" w:rsidR="000B62AD" w:rsidRPr="007E6C36" w:rsidRDefault="000B62AD" w:rsidP="00B015AF">
            <w:pPr>
              <w:spacing w:before="20" w:after="20"/>
              <w:rPr>
                <w:rFonts w:ascii="Gill Sans MT" w:hAnsi="Gill Sans MT"/>
                <w:sz w:val="22"/>
              </w:rPr>
            </w:pPr>
            <w:r w:rsidRPr="007E6C36">
              <w:rPr>
                <w:rFonts w:ascii="Gill Sans MT" w:eastAsia="Times New Roman" w:hAnsi="Gill Sans MT" w:cs="Times New Roman"/>
                <w:b/>
                <w:sz w:val="22"/>
              </w:rPr>
              <w:t>Study</w:t>
            </w:r>
          </w:p>
        </w:tc>
      </w:tr>
      <w:tr w:rsidR="000B62AD" w:rsidRPr="007E6C36" w14:paraId="602EA9EF" w14:textId="77777777" w:rsidTr="00B015AF">
        <w:trPr>
          <w:jc w:val="center"/>
        </w:trPr>
        <w:tc>
          <w:tcPr>
            <w:tcW w:w="1701" w:type="dxa"/>
            <w:vAlign w:val="center"/>
          </w:tcPr>
          <w:p w14:paraId="135EDBA6" w14:textId="77777777" w:rsidR="000B62AD" w:rsidRPr="007E6C36" w:rsidRDefault="000B62AD" w:rsidP="00B015AF">
            <w:pPr>
              <w:spacing w:before="20" w:after="20"/>
              <w:rPr>
                <w:rFonts w:ascii="Gill Sans MT" w:hAnsi="Gill Sans MT"/>
                <w:sz w:val="22"/>
              </w:rPr>
            </w:pPr>
            <w:r w:rsidRPr="007E6C36">
              <w:rPr>
                <w:rFonts w:ascii="Gill Sans MT" w:eastAsia="Times New Roman" w:hAnsi="Gill Sans MT" w:cs="Times New Roman"/>
                <w:b/>
                <w:sz w:val="22"/>
              </w:rPr>
              <w:t>HIV and Immunosuppression</w:t>
            </w:r>
          </w:p>
        </w:tc>
        <w:tc>
          <w:tcPr>
            <w:tcW w:w="2268" w:type="dxa"/>
            <w:vAlign w:val="center"/>
          </w:tcPr>
          <w:p w14:paraId="391D2BA0" w14:textId="77777777" w:rsidR="000B62AD" w:rsidRPr="007E6C36" w:rsidRDefault="000B62AD" w:rsidP="00B015AF">
            <w:pPr>
              <w:spacing w:before="20" w:after="20"/>
              <w:rPr>
                <w:rFonts w:ascii="Gill Sans MT" w:hAnsi="Gill Sans MT"/>
                <w:sz w:val="22"/>
              </w:rPr>
            </w:pPr>
          </w:p>
        </w:tc>
        <w:tc>
          <w:tcPr>
            <w:tcW w:w="2324" w:type="dxa"/>
            <w:vAlign w:val="center"/>
          </w:tcPr>
          <w:p w14:paraId="2F1F6370" w14:textId="77777777" w:rsidR="000B62AD" w:rsidRPr="007E6C36" w:rsidRDefault="000B62AD" w:rsidP="00B015AF">
            <w:pPr>
              <w:spacing w:before="20" w:after="20"/>
              <w:rPr>
                <w:rFonts w:ascii="Gill Sans MT" w:hAnsi="Gill Sans MT"/>
                <w:sz w:val="22"/>
              </w:rPr>
            </w:pPr>
          </w:p>
        </w:tc>
        <w:tc>
          <w:tcPr>
            <w:tcW w:w="2268" w:type="dxa"/>
            <w:vAlign w:val="center"/>
          </w:tcPr>
          <w:p w14:paraId="62368239" w14:textId="77777777" w:rsidR="000B62AD" w:rsidRPr="007E6C36" w:rsidRDefault="000B62AD" w:rsidP="00B015AF">
            <w:pPr>
              <w:spacing w:before="20" w:after="20"/>
              <w:rPr>
                <w:rFonts w:ascii="Gill Sans MT" w:hAnsi="Gill Sans MT"/>
                <w:sz w:val="22"/>
              </w:rPr>
            </w:pPr>
          </w:p>
        </w:tc>
      </w:tr>
      <w:tr w:rsidR="000B62AD" w:rsidRPr="007E6C36" w14:paraId="5F19B048" w14:textId="77777777" w:rsidTr="00B015AF">
        <w:trPr>
          <w:jc w:val="center"/>
        </w:trPr>
        <w:tc>
          <w:tcPr>
            <w:tcW w:w="1701" w:type="dxa"/>
            <w:vAlign w:val="center"/>
          </w:tcPr>
          <w:p w14:paraId="793A1EDF" w14:textId="77777777" w:rsidR="000B62AD" w:rsidRPr="007E6C36" w:rsidRDefault="000B62AD" w:rsidP="00B015AF">
            <w:pPr>
              <w:spacing w:before="20" w:after="20"/>
              <w:rPr>
                <w:rFonts w:ascii="Gill Sans MT" w:hAnsi="Gill Sans MT"/>
                <w:sz w:val="22"/>
              </w:rPr>
            </w:pPr>
          </w:p>
        </w:tc>
        <w:tc>
          <w:tcPr>
            <w:tcW w:w="2268" w:type="dxa"/>
            <w:vAlign w:val="center"/>
          </w:tcPr>
          <w:p w14:paraId="45BF442D" w14:textId="77777777" w:rsidR="000B62AD" w:rsidRPr="007E6C36" w:rsidRDefault="000B62AD" w:rsidP="00B015AF">
            <w:pPr>
              <w:spacing w:before="20" w:after="20"/>
              <w:rPr>
                <w:rFonts w:ascii="Gill Sans MT" w:hAnsi="Gill Sans MT"/>
                <w:sz w:val="22"/>
              </w:rPr>
            </w:pPr>
            <w:r w:rsidRPr="007E6C36">
              <w:rPr>
                <w:rFonts w:ascii="Gill Sans MT" w:eastAsia="Times New Roman" w:hAnsi="Gill Sans MT" w:cs="Times New Roman"/>
                <w:sz w:val="22"/>
              </w:rPr>
              <w:t>HIV co-infection</w:t>
            </w:r>
          </w:p>
        </w:tc>
        <w:tc>
          <w:tcPr>
            <w:tcW w:w="2324" w:type="dxa"/>
            <w:vAlign w:val="center"/>
          </w:tcPr>
          <w:p w14:paraId="55A7533B" w14:textId="77777777" w:rsidR="000B62AD" w:rsidRPr="007E6C36" w:rsidRDefault="000B62AD" w:rsidP="00B015AF">
            <w:pPr>
              <w:spacing w:before="20" w:after="20"/>
              <w:rPr>
                <w:rFonts w:ascii="Gill Sans MT" w:hAnsi="Gill Sans MT"/>
                <w:sz w:val="22"/>
              </w:rPr>
            </w:pPr>
            <w:proofErr w:type="spellStart"/>
            <w:r w:rsidRPr="007E6C36">
              <w:rPr>
                <w:rFonts w:ascii="Gill Sans MT" w:eastAsia="Times New Roman" w:hAnsi="Gill Sans MT" w:cs="Times New Roman"/>
                <w:sz w:val="22"/>
              </w:rPr>
              <w:t>aHR</w:t>
            </w:r>
            <w:proofErr w:type="spellEnd"/>
            <w:r w:rsidRPr="007E6C36">
              <w:rPr>
                <w:rFonts w:ascii="Gill Sans MT" w:eastAsia="Times New Roman" w:hAnsi="Gill Sans MT" w:cs="Times New Roman"/>
                <w:sz w:val="22"/>
              </w:rPr>
              <w:t xml:space="preserve"> 3.74</w:t>
            </w:r>
          </w:p>
        </w:tc>
        <w:tc>
          <w:tcPr>
            <w:tcW w:w="2268" w:type="dxa"/>
            <w:vAlign w:val="center"/>
          </w:tcPr>
          <w:p w14:paraId="0F30D2F5" w14:textId="77777777" w:rsidR="000B62AD" w:rsidRPr="007E6C36" w:rsidRDefault="000B62AD" w:rsidP="00B015AF">
            <w:pPr>
              <w:spacing w:before="20" w:after="20"/>
              <w:rPr>
                <w:rFonts w:ascii="Gill Sans MT" w:hAnsi="Gill Sans MT"/>
                <w:sz w:val="22"/>
              </w:rPr>
            </w:pPr>
            <w:proofErr w:type="spellStart"/>
            <w:r w:rsidRPr="007E6C36">
              <w:rPr>
                <w:rFonts w:ascii="Gill Sans MT" w:eastAsia="Times New Roman" w:hAnsi="Gill Sans MT" w:cs="Times New Roman"/>
                <w:sz w:val="22"/>
              </w:rPr>
              <w:t>Salindri</w:t>
            </w:r>
            <w:proofErr w:type="spellEnd"/>
            <w:r w:rsidRPr="007E6C36">
              <w:rPr>
                <w:rFonts w:ascii="Gill Sans MT" w:eastAsia="Times New Roman" w:hAnsi="Gill Sans MT" w:cs="Times New Roman"/>
                <w:sz w:val="22"/>
              </w:rPr>
              <w:t xml:space="preserve"> 2024 [14]</w:t>
            </w:r>
          </w:p>
        </w:tc>
      </w:tr>
      <w:tr w:rsidR="000B62AD" w:rsidRPr="007E6C36" w14:paraId="47342601" w14:textId="77777777" w:rsidTr="00B015AF">
        <w:trPr>
          <w:jc w:val="center"/>
        </w:trPr>
        <w:tc>
          <w:tcPr>
            <w:tcW w:w="1701" w:type="dxa"/>
            <w:vAlign w:val="center"/>
          </w:tcPr>
          <w:p w14:paraId="778CAB98" w14:textId="77777777" w:rsidR="000B62AD" w:rsidRPr="007E6C36" w:rsidRDefault="000B62AD" w:rsidP="00B015AF">
            <w:pPr>
              <w:spacing w:before="20" w:after="20"/>
              <w:rPr>
                <w:rFonts w:ascii="Gill Sans MT" w:hAnsi="Gill Sans MT"/>
                <w:sz w:val="22"/>
              </w:rPr>
            </w:pPr>
          </w:p>
        </w:tc>
        <w:tc>
          <w:tcPr>
            <w:tcW w:w="2268" w:type="dxa"/>
            <w:vAlign w:val="center"/>
          </w:tcPr>
          <w:p w14:paraId="6A9FE692" w14:textId="77777777" w:rsidR="000B62AD" w:rsidRPr="007E6C36" w:rsidRDefault="000B62AD" w:rsidP="00B015AF">
            <w:pPr>
              <w:spacing w:before="20" w:after="20"/>
              <w:rPr>
                <w:rFonts w:ascii="Gill Sans MT" w:hAnsi="Gill Sans MT"/>
                <w:sz w:val="22"/>
              </w:rPr>
            </w:pPr>
            <w:r w:rsidRPr="007E6C36">
              <w:rPr>
                <w:rFonts w:ascii="Gill Sans MT" w:eastAsia="Times New Roman" w:hAnsi="Gill Sans MT" w:cs="Times New Roman"/>
                <w:sz w:val="22"/>
              </w:rPr>
              <w:t>CD4 &lt;200 cells/µL</w:t>
            </w:r>
          </w:p>
        </w:tc>
        <w:tc>
          <w:tcPr>
            <w:tcW w:w="2324" w:type="dxa"/>
            <w:vAlign w:val="center"/>
          </w:tcPr>
          <w:p w14:paraId="135D4EBA" w14:textId="77777777" w:rsidR="000B62AD" w:rsidRPr="007E6C36" w:rsidRDefault="000B62AD" w:rsidP="00B015AF">
            <w:pPr>
              <w:spacing w:before="20" w:after="20"/>
              <w:rPr>
                <w:rFonts w:ascii="Gill Sans MT" w:hAnsi="Gill Sans MT"/>
                <w:sz w:val="22"/>
              </w:rPr>
            </w:pPr>
            <w:proofErr w:type="spellStart"/>
            <w:r w:rsidRPr="007E6C36">
              <w:rPr>
                <w:rFonts w:ascii="Gill Sans MT" w:eastAsia="Times New Roman" w:hAnsi="Gill Sans MT" w:cs="Times New Roman"/>
                <w:sz w:val="22"/>
              </w:rPr>
              <w:t>aHR</w:t>
            </w:r>
            <w:proofErr w:type="spellEnd"/>
            <w:r w:rsidRPr="007E6C36">
              <w:rPr>
                <w:rFonts w:ascii="Gill Sans MT" w:eastAsia="Times New Roman" w:hAnsi="Gill Sans MT" w:cs="Times New Roman"/>
                <w:sz w:val="22"/>
              </w:rPr>
              <w:t xml:space="preserve"> 1.81 (1.06–3.11)</w:t>
            </w:r>
          </w:p>
        </w:tc>
        <w:tc>
          <w:tcPr>
            <w:tcW w:w="2268" w:type="dxa"/>
            <w:vAlign w:val="center"/>
          </w:tcPr>
          <w:p w14:paraId="7DA1E752" w14:textId="77777777" w:rsidR="000B62AD" w:rsidRPr="007E6C36" w:rsidRDefault="000B62AD" w:rsidP="00B015AF">
            <w:pPr>
              <w:spacing w:before="20" w:after="20"/>
              <w:rPr>
                <w:rFonts w:ascii="Gill Sans MT" w:hAnsi="Gill Sans MT"/>
                <w:sz w:val="22"/>
              </w:rPr>
            </w:pPr>
            <w:proofErr w:type="spellStart"/>
            <w:r w:rsidRPr="007E6C36">
              <w:rPr>
                <w:rFonts w:ascii="Gill Sans MT" w:eastAsia="Times New Roman" w:hAnsi="Gill Sans MT" w:cs="Times New Roman"/>
                <w:sz w:val="22"/>
              </w:rPr>
              <w:t>Lumu</w:t>
            </w:r>
            <w:proofErr w:type="spellEnd"/>
            <w:r w:rsidRPr="007E6C36">
              <w:rPr>
                <w:rFonts w:ascii="Gill Sans MT" w:eastAsia="Times New Roman" w:hAnsi="Gill Sans MT" w:cs="Times New Roman"/>
                <w:sz w:val="22"/>
              </w:rPr>
              <w:t xml:space="preserve"> 2023 [2]</w:t>
            </w:r>
          </w:p>
        </w:tc>
      </w:tr>
      <w:tr w:rsidR="000B62AD" w:rsidRPr="007E6C36" w14:paraId="18FC1E3D" w14:textId="77777777" w:rsidTr="00B015AF">
        <w:trPr>
          <w:jc w:val="center"/>
        </w:trPr>
        <w:tc>
          <w:tcPr>
            <w:tcW w:w="1701" w:type="dxa"/>
            <w:vAlign w:val="center"/>
          </w:tcPr>
          <w:p w14:paraId="36A2DFE3" w14:textId="77777777" w:rsidR="000B62AD" w:rsidRPr="007E6C36" w:rsidRDefault="000B62AD" w:rsidP="00B015AF">
            <w:pPr>
              <w:spacing w:before="20" w:after="20"/>
              <w:rPr>
                <w:rFonts w:ascii="Gill Sans MT" w:hAnsi="Gill Sans MT"/>
                <w:sz w:val="22"/>
              </w:rPr>
            </w:pPr>
          </w:p>
        </w:tc>
        <w:tc>
          <w:tcPr>
            <w:tcW w:w="2268" w:type="dxa"/>
            <w:vAlign w:val="center"/>
          </w:tcPr>
          <w:p w14:paraId="2173D40B" w14:textId="77777777" w:rsidR="000B62AD" w:rsidRPr="007E6C36" w:rsidRDefault="000B62AD" w:rsidP="00B015AF">
            <w:pPr>
              <w:spacing w:before="20" w:after="20"/>
              <w:rPr>
                <w:rFonts w:ascii="Gill Sans MT" w:hAnsi="Gill Sans MT"/>
                <w:sz w:val="22"/>
              </w:rPr>
            </w:pPr>
            <w:r w:rsidRPr="007E6C36">
              <w:rPr>
                <w:rFonts w:ascii="Gill Sans MT" w:eastAsia="Times New Roman" w:hAnsi="Gill Sans MT" w:cs="Times New Roman"/>
                <w:sz w:val="22"/>
              </w:rPr>
              <w:t>CD4 ≤200 cells/µL</w:t>
            </w:r>
          </w:p>
        </w:tc>
        <w:tc>
          <w:tcPr>
            <w:tcW w:w="2324" w:type="dxa"/>
            <w:vAlign w:val="center"/>
          </w:tcPr>
          <w:p w14:paraId="739A75E5" w14:textId="77777777" w:rsidR="000B62AD" w:rsidRPr="007E6C36" w:rsidRDefault="000B62AD" w:rsidP="00B015AF">
            <w:pPr>
              <w:spacing w:before="20" w:after="20"/>
              <w:rPr>
                <w:rFonts w:ascii="Gill Sans MT" w:hAnsi="Gill Sans MT"/>
                <w:sz w:val="22"/>
              </w:rPr>
            </w:pPr>
            <w:r w:rsidRPr="007E6C36">
              <w:rPr>
                <w:rFonts w:ascii="Gill Sans MT" w:eastAsia="Times New Roman" w:hAnsi="Gill Sans MT" w:cs="Times New Roman"/>
                <w:sz w:val="22"/>
              </w:rPr>
              <w:t>Predictor identified</w:t>
            </w:r>
          </w:p>
        </w:tc>
        <w:tc>
          <w:tcPr>
            <w:tcW w:w="2268" w:type="dxa"/>
            <w:vAlign w:val="center"/>
          </w:tcPr>
          <w:p w14:paraId="07A9D279" w14:textId="77777777" w:rsidR="000B62AD" w:rsidRPr="007E6C36" w:rsidRDefault="000B62AD" w:rsidP="00B015AF">
            <w:pPr>
              <w:spacing w:before="20" w:after="20"/>
              <w:rPr>
                <w:rFonts w:ascii="Gill Sans MT" w:hAnsi="Gill Sans MT"/>
                <w:sz w:val="22"/>
              </w:rPr>
            </w:pPr>
            <w:r w:rsidRPr="007E6C36">
              <w:rPr>
                <w:rFonts w:ascii="Gill Sans MT" w:eastAsia="Times New Roman" w:hAnsi="Gill Sans MT" w:cs="Times New Roman"/>
                <w:sz w:val="22"/>
              </w:rPr>
              <w:t>Zheng 2020 [4]</w:t>
            </w:r>
          </w:p>
        </w:tc>
      </w:tr>
      <w:tr w:rsidR="000B62AD" w:rsidRPr="007E6C36" w14:paraId="2BE86444" w14:textId="77777777" w:rsidTr="00B015AF">
        <w:trPr>
          <w:jc w:val="center"/>
        </w:trPr>
        <w:tc>
          <w:tcPr>
            <w:tcW w:w="1701" w:type="dxa"/>
            <w:vAlign w:val="center"/>
          </w:tcPr>
          <w:p w14:paraId="1B20B911" w14:textId="77777777" w:rsidR="000B62AD" w:rsidRPr="007E6C36" w:rsidRDefault="000B62AD" w:rsidP="00B015AF">
            <w:pPr>
              <w:spacing w:before="20" w:after="20"/>
              <w:rPr>
                <w:rFonts w:ascii="Gill Sans MT" w:hAnsi="Gill Sans MT"/>
                <w:sz w:val="22"/>
              </w:rPr>
            </w:pPr>
          </w:p>
        </w:tc>
        <w:tc>
          <w:tcPr>
            <w:tcW w:w="2268" w:type="dxa"/>
            <w:vAlign w:val="center"/>
          </w:tcPr>
          <w:p w14:paraId="51688FC6" w14:textId="77777777" w:rsidR="000B62AD" w:rsidRPr="007E6C36" w:rsidRDefault="000B62AD" w:rsidP="00B015AF">
            <w:pPr>
              <w:spacing w:before="20" w:after="20"/>
              <w:rPr>
                <w:rFonts w:ascii="Gill Sans MT" w:hAnsi="Gill Sans MT"/>
                <w:sz w:val="22"/>
              </w:rPr>
            </w:pPr>
            <w:r w:rsidRPr="007E6C36">
              <w:rPr>
                <w:rFonts w:ascii="Gill Sans MT" w:eastAsia="Times New Roman" w:hAnsi="Gill Sans MT" w:cs="Times New Roman"/>
                <w:sz w:val="22"/>
              </w:rPr>
              <w:t>Prior TB in HIV+</w:t>
            </w:r>
          </w:p>
        </w:tc>
        <w:tc>
          <w:tcPr>
            <w:tcW w:w="2324" w:type="dxa"/>
            <w:vAlign w:val="center"/>
          </w:tcPr>
          <w:p w14:paraId="33608D86" w14:textId="77777777" w:rsidR="000B62AD" w:rsidRPr="007E6C36" w:rsidRDefault="000B62AD" w:rsidP="00B015AF">
            <w:pPr>
              <w:spacing w:before="20" w:after="20"/>
              <w:rPr>
                <w:rFonts w:ascii="Gill Sans MT" w:hAnsi="Gill Sans MT"/>
                <w:sz w:val="22"/>
              </w:rPr>
            </w:pPr>
            <w:r w:rsidRPr="007E6C36">
              <w:rPr>
                <w:rFonts w:ascii="Gill Sans MT" w:eastAsia="Times New Roman" w:hAnsi="Gill Sans MT" w:cs="Times New Roman"/>
                <w:sz w:val="22"/>
              </w:rPr>
              <w:t>HR 2.78 (1.61–4.79)</w:t>
            </w:r>
          </w:p>
        </w:tc>
        <w:tc>
          <w:tcPr>
            <w:tcW w:w="2268" w:type="dxa"/>
            <w:vAlign w:val="center"/>
          </w:tcPr>
          <w:p w14:paraId="1A222B6B" w14:textId="77777777" w:rsidR="000B62AD" w:rsidRPr="007E6C36" w:rsidRDefault="000B62AD" w:rsidP="00B015AF">
            <w:pPr>
              <w:spacing w:before="20" w:after="20"/>
              <w:rPr>
                <w:rFonts w:ascii="Gill Sans MT" w:hAnsi="Gill Sans MT"/>
                <w:sz w:val="22"/>
              </w:rPr>
            </w:pPr>
            <w:r w:rsidRPr="007E6C36">
              <w:rPr>
                <w:rFonts w:ascii="Gill Sans MT" w:eastAsia="Times New Roman" w:hAnsi="Gill Sans MT" w:cs="Times New Roman"/>
                <w:sz w:val="22"/>
              </w:rPr>
              <w:t>Joseph 2021 [25]</w:t>
            </w:r>
          </w:p>
        </w:tc>
      </w:tr>
      <w:tr w:rsidR="000B62AD" w:rsidRPr="007E6C36" w14:paraId="7D951344" w14:textId="77777777" w:rsidTr="00B015AF">
        <w:trPr>
          <w:jc w:val="center"/>
        </w:trPr>
        <w:tc>
          <w:tcPr>
            <w:tcW w:w="1701" w:type="dxa"/>
            <w:vAlign w:val="center"/>
          </w:tcPr>
          <w:p w14:paraId="0D5B479E" w14:textId="77777777" w:rsidR="000B62AD" w:rsidRPr="007E6C36" w:rsidRDefault="000B62AD" w:rsidP="00B015AF">
            <w:pPr>
              <w:spacing w:before="20" w:after="20"/>
              <w:rPr>
                <w:rFonts w:ascii="Gill Sans MT" w:hAnsi="Gill Sans MT"/>
                <w:sz w:val="22"/>
              </w:rPr>
            </w:pPr>
            <w:r w:rsidRPr="007E6C36">
              <w:rPr>
                <w:rFonts w:ascii="Gill Sans MT" w:eastAsia="Times New Roman" w:hAnsi="Gill Sans MT" w:cs="Times New Roman"/>
                <w:b/>
                <w:sz w:val="22"/>
              </w:rPr>
              <w:t>Treatment History</w:t>
            </w:r>
          </w:p>
        </w:tc>
        <w:tc>
          <w:tcPr>
            <w:tcW w:w="2268" w:type="dxa"/>
            <w:vAlign w:val="center"/>
          </w:tcPr>
          <w:p w14:paraId="01D733BF" w14:textId="77777777" w:rsidR="000B62AD" w:rsidRPr="007E6C36" w:rsidRDefault="000B62AD" w:rsidP="00B015AF">
            <w:pPr>
              <w:spacing w:before="20" w:after="20"/>
              <w:rPr>
                <w:rFonts w:ascii="Gill Sans MT" w:hAnsi="Gill Sans MT"/>
                <w:sz w:val="22"/>
              </w:rPr>
            </w:pPr>
          </w:p>
        </w:tc>
        <w:tc>
          <w:tcPr>
            <w:tcW w:w="2324" w:type="dxa"/>
            <w:vAlign w:val="center"/>
          </w:tcPr>
          <w:p w14:paraId="37E8D478" w14:textId="77777777" w:rsidR="000B62AD" w:rsidRPr="007E6C36" w:rsidRDefault="000B62AD" w:rsidP="00B015AF">
            <w:pPr>
              <w:spacing w:before="20" w:after="20"/>
              <w:rPr>
                <w:rFonts w:ascii="Gill Sans MT" w:hAnsi="Gill Sans MT"/>
                <w:sz w:val="22"/>
              </w:rPr>
            </w:pPr>
          </w:p>
        </w:tc>
        <w:tc>
          <w:tcPr>
            <w:tcW w:w="2268" w:type="dxa"/>
            <w:vAlign w:val="center"/>
          </w:tcPr>
          <w:p w14:paraId="7A2BCE44" w14:textId="77777777" w:rsidR="000B62AD" w:rsidRPr="007E6C36" w:rsidRDefault="000B62AD" w:rsidP="00B015AF">
            <w:pPr>
              <w:spacing w:before="20" w:after="20"/>
              <w:rPr>
                <w:rFonts w:ascii="Gill Sans MT" w:hAnsi="Gill Sans MT"/>
                <w:sz w:val="22"/>
              </w:rPr>
            </w:pPr>
          </w:p>
        </w:tc>
      </w:tr>
      <w:tr w:rsidR="000B62AD" w:rsidRPr="007E6C36" w14:paraId="584B298D" w14:textId="77777777" w:rsidTr="00B015AF">
        <w:trPr>
          <w:jc w:val="center"/>
        </w:trPr>
        <w:tc>
          <w:tcPr>
            <w:tcW w:w="1701" w:type="dxa"/>
            <w:vAlign w:val="center"/>
          </w:tcPr>
          <w:p w14:paraId="5B110E9D" w14:textId="77777777" w:rsidR="000B62AD" w:rsidRPr="007E6C36" w:rsidRDefault="000B62AD" w:rsidP="00B015AF">
            <w:pPr>
              <w:spacing w:before="20" w:after="20"/>
              <w:rPr>
                <w:rFonts w:ascii="Gill Sans MT" w:hAnsi="Gill Sans MT"/>
                <w:sz w:val="22"/>
              </w:rPr>
            </w:pPr>
          </w:p>
        </w:tc>
        <w:tc>
          <w:tcPr>
            <w:tcW w:w="2268" w:type="dxa"/>
            <w:vAlign w:val="center"/>
          </w:tcPr>
          <w:p w14:paraId="386A8111" w14:textId="77777777" w:rsidR="000B62AD" w:rsidRPr="007E6C36" w:rsidRDefault="000B62AD" w:rsidP="00B015AF">
            <w:pPr>
              <w:spacing w:before="20" w:after="20"/>
              <w:rPr>
                <w:rFonts w:ascii="Gill Sans MT" w:hAnsi="Gill Sans MT"/>
                <w:sz w:val="22"/>
              </w:rPr>
            </w:pPr>
            <w:r w:rsidRPr="007E6C36">
              <w:rPr>
                <w:rFonts w:ascii="Gill Sans MT" w:eastAsia="Times New Roman" w:hAnsi="Gill Sans MT" w:cs="Times New Roman"/>
                <w:sz w:val="22"/>
              </w:rPr>
              <w:t>History of TB</w:t>
            </w:r>
          </w:p>
        </w:tc>
        <w:tc>
          <w:tcPr>
            <w:tcW w:w="2324" w:type="dxa"/>
            <w:vAlign w:val="center"/>
          </w:tcPr>
          <w:p w14:paraId="68E62F75" w14:textId="77777777" w:rsidR="000B62AD" w:rsidRPr="007E6C36" w:rsidRDefault="000B62AD" w:rsidP="00B015AF">
            <w:pPr>
              <w:spacing w:before="20" w:after="20"/>
              <w:rPr>
                <w:rFonts w:ascii="Gill Sans MT" w:hAnsi="Gill Sans MT"/>
                <w:sz w:val="22"/>
              </w:rPr>
            </w:pPr>
            <w:proofErr w:type="spellStart"/>
            <w:r w:rsidRPr="007E6C36">
              <w:rPr>
                <w:rFonts w:ascii="Gill Sans MT" w:eastAsia="Times New Roman" w:hAnsi="Gill Sans MT" w:cs="Times New Roman"/>
                <w:sz w:val="22"/>
              </w:rPr>
              <w:t>aHR</w:t>
            </w:r>
            <w:proofErr w:type="spellEnd"/>
            <w:r w:rsidRPr="007E6C36">
              <w:rPr>
                <w:rFonts w:ascii="Gill Sans MT" w:eastAsia="Times New Roman" w:hAnsi="Gill Sans MT" w:cs="Times New Roman"/>
                <w:sz w:val="22"/>
              </w:rPr>
              <w:t xml:space="preserve"> 2.12 (1.16–3.85)</w:t>
            </w:r>
          </w:p>
        </w:tc>
        <w:tc>
          <w:tcPr>
            <w:tcW w:w="2268" w:type="dxa"/>
            <w:vAlign w:val="center"/>
          </w:tcPr>
          <w:p w14:paraId="61B783E1" w14:textId="77777777" w:rsidR="000B62AD" w:rsidRPr="007E6C36" w:rsidRDefault="000B62AD" w:rsidP="00B015AF">
            <w:pPr>
              <w:spacing w:before="20" w:after="20"/>
              <w:rPr>
                <w:rFonts w:ascii="Gill Sans MT" w:hAnsi="Gill Sans MT"/>
                <w:sz w:val="22"/>
              </w:rPr>
            </w:pPr>
            <w:proofErr w:type="spellStart"/>
            <w:r w:rsidRPr="007E6C36">
              <w:rPr>
                <w:rFonts w:ascii="Gill Sans MT" w:eastAsia="Times New Roman" w:hAnsi="Gill Sans MT" w:cs="Times New Roman"/>
                <w:sz w:val="22"/>
              </w:rPr>
              <w:t>Lumu</w:t>
            </w:r>
            <w:proofErr w:type="spellEnd"/>
            <w:r w:rsidRPr="007E6C36">
              <w:rPr>
                <w:rFonts w:ascii="Gill Sans MT" w:eastAsia="Times New Roman" w:hAnsi="Gill Sans MT" w:cs="Times New Roman"/>
                <w:sz w:val="22"/>
              </w:rPr>
              <w:t xml:space="preserve"> 2023 [2]</w:t>
            </w:r>
          </w:p>
        </w:tc>
      </w:tr>
      <w:tr w:rsidR="000B62AD" w:rsidRPr="007E6C36" w14:paraId="22869BCE" w14:textId="77777777" w:rsidTr="00B015AF">
        <w:trPr>
          <w:jc w:val="center"/>
        </w:trPr>
        <w:tc>
          <w:tcPr>
            <w:tcW w:w="1701" w:type="dxa"/>
            <w:vAlign w:val="center"/>
          </w:tcPr>
          <w:p w14:paraId="5685E5C1" w14:textId="77777777" w:rsidR="000B62AD" w:rsidRPr="007E6C36" w:rsidRDefault="000B62AD" w:rsidP="00B015AF">
            <w:pPr>
              <w:spacing w:before="20" w:after="20"/>
              <w:rPr>
                <w:rFonts w:ascii="Gill Sans MT" w:hAnsi="Gill Sans MT"/>
                <w:sz w:val="22"/>
              </w:rPr>
            </w:pPr>
          </w:p>
        </w:tc>
        <w:tc>
          <w:tcPr>
            <w:tcW w:w="2268" w:type="dxa"/>
            <w:vAlign w:val="center"/>
          </w:tcPr>
          <w:p w14:paraId="69CC0DA7" w14:textId="77777777" w:rsidR="000B62AD" w:rsidRPr="007E6C36" w:rsidRDefault="000B62AD" w:rsidP="00B015AF">
            <w:pPr>
              <w:spacing w:before="20" w:after="20"/>
              <w:rPr>
                <w:rFonts w:ascii="Gill Sans MT" w:hAnsi="Gill Sans MT"/>
                <w:sz w:val="22"/>
              </w:rPr>
            </w:pPr>
            <w:r w:rsidRPr="007E6C36">
              <w:rPr>
                <w:rFonts w:ascii="Gill Sans MT" w:eastAsia="Times New Roman" w:hAnsi="Gill Sans MT" w:cs="Times New Roman"/>
                <w:sz w:val="22"/>
              </w:rPr>
              <w:t>Previous TB treatment</w:t>
            </w:r>
          </w:p>
        </w:tc>
        <w:tc>
          <w:tcPr>
            <w:tcW w:w="2324" w:type="dxa"/>
            <w:vAlign w:val="center"/>
          </w:tcPr>
          <w:p w14:paraId="5434B920" w14:textId="77777777" w:rsidR="000B62AD" w:rsidRPr="007E6C36" w:rsidRDefault="000B62AD" w:rsidP="00B015AF">
            <w:pPr>
              <w:spacing w:before="20" w:after="20"/>
              <w:rPr>
                <w:rFonts w:ascii="Gill Sans MT" w:hAnsi="Gill Sans MT"/>
                <w:sz w:val="22"/>
              </w:rPr>
            </w:pPr>
            <w:r w:rsidRPr="007E6C36">
              <w:rPr>
                <w:rFonts w:ascii="Gill Sans MT" w:eastAsia="Times New Roman" w:hAnsi="Gill Sans MT" w:cs="Times New Roman"/>
                <w:sz w:val="22"/>
              </w:rPr>
              <w:t>Predictor identified</w:t>
            </w:r>
          </w:p>
        </w:tc>
        <w:tc>
          <w:tcPr>
            <w:tcW w:w="2268" w:type="dxa"/>
            <w:vAlign w:val="center"/>
          </w:tcPr>
          <w:p w14:paraId="05AEEB54" w14:textId="77777777" w:rsidR="000B62AD" w:rsidRPr="007E6C36" w:rsidRDefault="000B62AD" w:rsidP="00B015AF">
            <w:pPr>
              <w:spacing w:before="20" w:after="20"/>
              <w:rPr>
                <w:rFonts w:ascii="Gill Sans MT" w:hAnsi="Gill Sans MT"/>
                <w:sz w:val="22"/>
              </w:rPr>
            </w:pPr>
            <w:proofErr w:type="spellStart"/>
            <w:r w:rsidRPr="007E6C36">
              <w:rPr>
                <w:rFonts w:ascii="Gill Sans MT" w:eastAsia="Times New Roman" w:hAnsi="Gill Sans MT" w:cs="Times New Roman"/>
                <w:sz w:val="22"/>
              </w:rPr>
              <w:t>Moosazadeh</w:t>
            </w:r>
            <w:proofErr w:type="spellEnd"/>
            <w:r w:rsidRPr="007E6C36">
              <w:rPr>
                <w:rFonts w:ascii="Gill Sans MT" w:eastAsia="Times New Roman" w:hAnsi="Gill Sans MT" w:cs="Times New Roman"/>
                <w:sz w:val="22"/>
              </w:rPr>
              <w:t xml:space="preserve"> 2014 [6]</w:t>
            </w:r>
          </w:p>
        </w:tc>
      </w:tr>
      <w:tr w:rsidR="000B62AD" w:rsidRPr="007E6C36" w14:paraId="4C76F09E" w14:textId="77777777" w:rsidTr="00B015AF">
        <w:trPr>
          <w:jc w:val="center"/>
        </w:trPr>
        <w:tc>
          <w:tcPr>
            <w:tcW w:w="1701" w:type="dxa"/>
            <w:vAlign w:val="center"/>
          </w:tcPr>
          <w:p w14:paraId="211400B5" w14:textId="77777777" w:rsidR="000B62AD" w:rsidRPr="007E6C36" w:rsidRDefault="000B62AD" w:rsidP="00B015AF">
            <w:pPr>
              <w:spacing w:before="20" w:after="20"/>
              <w:rPr>
                <w:rFonts w:ascii="Gill Sans MT" w:hAnsi="Gill Sans MT"/>
                <w:sz w:val="22"/>
              </w:rPr>
            </w:pPr>
          </w:p>
        </w:tc>
        <w:tc>
          <w:tcPr>
            <w:tcW w:w="2268" w:type="dxa"/>
            <w:vAlign w:val="center"/>
          </w:tcPr>
          <w:p w14:paraId="176BF58D" w14:textId="77777777" w:rsidR="000B62AD" w:rsidRPr="007E6C36" w:rsidRDefault="000B62AD" w:rsidP="00B015AF">
            <w:pPr>
              <w:spacing w:before="20" w:after="20"/>
              <w:rPr>
                <w:rFonts w:ascii="Gill Sans MT" w:hAnsi="Gill Sans MT"/>
                <w:sz w:val="22"/>
              </w:rPr>
            </w:pPr>
            <w:r w:rsidRPr="007E6C36">
              <w:rPr>
                <w:rFonts w:ascii="Gill Sans MT" w:eastAsia="Times New Roman" w:hAnsi="Gill Sans MT" w:cs="Times New Roman"/>
                <w:sz w:val="22"/>
              </w:rPr>
              <w:t>Unfavorable EOT outcome</w:t>
            </w:r>
          </w:p>
        </w:tc>
        <w:tc>
          <w:tcPr>
            <w:tcW w:w="2324" w:type="dxa"/>
            <w:vAlign w:val="center"/>
          </w:tcPr>
          <w:p w14:paraId="23B7D4E0" w14:textId="77777777" w:rsidR="000B62AD" w:rsidRPr="007E6C36" w:rsidRDefault="000B62AD" w:rsidP="00B015AF">
            <w:pPr>
              <w:spacing w:before="20" w:after="20"/>
              <w:rPr>
                <w:rFonts w:ascii="Gill Sans MT" w:hAnsi="Gill Sans MT"/>
                <w:sz w:val="22"/>
              </w:rPr>
            </w:pPr>
            <w:proofErr w:type="spellStart"/>
            <w:r w:rsidRPr="007E6C36">
              <w:rPr>
                <w:rFonts w:ascii="Gill Sans MT" w:eastAsia="Times New Roman" w:hAnsi="Gill Sans MT" w:cs="Times New Roman"/>
                <w:sz w:val="22"/>
              </w:rPr>
              <w:t>aOR</w:t>
            </w:r>
            <w:proofErr w:type="spellEnd"/>
            <w:r w:rsidRPr="007E6C36">
              <w:rPr>
                <w:rFonts w:ascii="Gill Sans MT" w:eastAsia="Times New Roman" w:hAnsi="Gill Sans MT" w:cs="Times New Roman"/>
                <w:sz w:val="22"/>
              </w:rPr>
              <w:t xml:space="preserve"> 14.41</w:t>
            </w:r>
          </w:p>
        </w:tc>
        <w:tc>
          <w:tcPr>
            <w:tcW w:w="2268" w:type="dxa"/>
            <w:vAlign w:val="center"/>
          </w:tcPr>
          <w:p w14:paraId="5E6E671F" w14:textId="77777777" w:rsidR="000B62AD" w:rsidRPr="007E6C36" w:rsidRDefault="000B62AD" w:rsidP="00B015AF">
            <w:pPr>
              <w:spacing w:before="20" w:after="20"/>
              <w:rPr>
                <w:rFonts w:ascii="Gill Sans MT" w:hAnsi="Gill Sans MT"/>
                <w:sz w:val="22"/>
              </w:rPr>
            </w:pPr>
            <w:r w:rsidRPr="007E6C36">
              <w:rPr>
                <w:rFonts w:ascii="Gill Sans MT" w:eastAsia="Times New Roman" w:hAnsi="Gill Sans MT" w:cs="Times New Roman"/>
                <w:sz w:val="22"/>
              </w:rPr>
              <w:t>Frank 2019 [27]</w:t>
            </w:r>
          </w:p>
        </w:tc>
      </w:tr>
      <w:tr w:rsidR="000B62AD" w:rsidRPr="007E6C36" w14:paraId="4DCA83EF" w14:textId="77777777" w:rsidTr="00B015AF">
        <w:trPr>
          <w:jc w:val="center"/>
        </w:trPr>
        <w:tc>
          <w:tcPr>
            <w:tcW w:w="1701" w:type="dxa"/>
            <w:vAlign w:val="center"/>
          </w:tcPr>
          <w:p w14:paraId="09F9CDDF" w14:textId="77777777" w:rsidR="000B62AD" w:rsidRPr="007E6C36" w:rsidRDefault="000B62AD" w:rsidP="00B015AF">
            <w:pPr>
              <w:spacing w:before="20" w:after="20"/>
              <w:rPr>
                <w:rFonts w:ascii="Gill Sans MT" w:hAnsi="Gill Sans MT"/>
                <w:sz w:val="22"/>
              </w:rPr>
            </w:pPr>
            <w:r w:rsidRPr="007E6C36">
              <w:rPr>
                <w:rFonts w:ascii="Gill Sans MT" w:eastAsia="Times New Roman" w:hAnsi="Gill Sans MT" w:cs="Times New Roman"/>
                <w:b/>
                <w:sz w:val="22"/>
              </w:rPr>
              <w:t>Demographic</w:t>
            </w:r>
          </w:p>
        </w:tc>
        <w:tc>
          <w:tcPr>
            <w:tcW w:w="2268" w:type="dxa"/>
            <w:vAlign w:val="center"/>
          </w:tcPr>
          <w:p w14:paraId="4F5B89C6" w14:textId="77777777" w:rsidR="000B62AD" w:rsidRPr="007E6C36" w:rsidRDefault="000B62AD" w:rsidP="00B015AF">
            <w:pPr>
              <w:spacing w:before="20" w:after="20"/>
              <w:rPr>
                <w:rFonts w:ascii="Gill Sans MT" w:hAnsi="Gill Sans MT"/>
                <w:sz w:val="22"/>
              </w:rPr>
            </w:pPr>
          </w:p>
        </w:tc>
        <w:tc>
          <w:tcPr>
            <w:tcW w:w="2324" w:type="dxa"/>
            <w:vAlign w:val="center"/>
          </w:tcPr>
          <w:p w14:paraId="05C15FC1" w14:textId="77777777" w:rsidR="000B62AD" w:rsidRPr="007E6C36" w:rsidRDefault="000B62AD" w:rsidP="00B015AF">
            <w:pPr>
              <w:spacing w:before="20" w:after="20"/>
              <w:rPr>
                <w:rFonts w:ascii="Gill Sans MT" w:hAnsi="Gill Sans MT"/>
                <w:sz w:val="22"/>
              </w:rPr>
            </w:pPr>
          </w:p>
        </w:tc>
        <w:tc>
          <w:tcPr>
            <w:tcW w:w="2268" w:type="dxa"/>
            <w:vAlign w:val="center"/>
          </w:tcPr>
          <w:p w14:paraId="66831506" w14:textId="77777777" w:rsidR="000B62AD" w:rsidRPr="007E6C36" w:rsidRDefault="000B62AD" w:rsidP="00B015AF">
            <w:pPr>
              <w:spacing w:before="20" w:after="20"/>
              <w:rPr>
                <w:rFonts w:ascii="Gill Sans MT" w:hAnsi="Gill Sans MT"/>
                <w:sz w:val="22"/>
              </w:rPr>
            </w:pPr>
          </w:p>
        </w:tc>
      </w:tr>
      <w:tr w:rsidR="000B62AD" w:rsidRPr="007E6C36" w14:paraId="6FC9A6EC" w14:textId="77777777" w:rsidTr="00B015AF">
        <w:trPr>
          <w:jc w:val="center"/>
        </w:trPr>
        <w:tc>
          <w:tcPr>
            <w:tcW w:w="1701" w:type="dxa"/>
            <w:vAlign w:val="center"/>
          </w:tcPr>
          <w:p w14:paraId="6D345238" w14:textId="77777777" w:rsidR="000B62AD" w:rsidRPr="007E6C36" w:rsidRDefault="000B62AD" w:rsidP="00B015AF">
            <w:pPr>
              <w:spacing w:before="20" w:after="20"/>
              <w:rPr>
                <w:rFonts w:ascii="Gill Sans MT" w:hAnsi="Gill Sans MT"/>
                <w:sz w:val="22"/>
              </w:rPr>
            </w:pPr>
          </w:p>
        </w:tc>
        <w:tc>
          <w:tcPr>
            <w:tcW w:w="2268" w:type="dxa"/>
            <w:vAlign w:val="center"/>
          </w:tcPr>
          <w:p w14:paraId="0B432BDA" w14:textId="77777777" w:rsidR="000B62AD" w:rsidRPr="007E6C36" w:rsidRDefault="000B62AD" w:rsidP="00B015AF">
            <w:pPr>
              <w:spacing w:before="20" w:after="20"/>
              <w:rPr>
                <w:rFonts w:ascii="Gill Sans MT" w:hAnsi="Gill Sans MT"/>
                <w:sz w:val="22"/>
              </w:rPr>
            </w:pPr>
            <w:r w:rsidRPr="007E6C36">
              <w:rPr>
                <w:rFonts w:ascii="Gill Sans MT" w:eastAsia="Times New Roman" w:hAnsi="Gill Sans MT" w:cs="Times New Roman"/>
                <w:sz w:val="22"/>
              </w:rPr>
              <w:t>Age &gt;60 years</w:t>
            </w:r>
          </w:p>
        </w:tc>
        <w:tc>
          <w:tcPr>
            <w:tcW w:w="2324" w:type="dxa"/>
            <w:vAlign w:val="center"/>
          </w:tcPr>
          <w:p w14:paraId="2AF60743" w14:textId="77777777" w:rsidR="000B62AD" w:rsidRPr="007E6C36" w:rsidRDefault="000B62AD" w:rsidP="00B015AF">
            <w:pPr>
              <w:spacing w:before="20" w:after="20"/>
              <w:rPr>
                <w:rFonts w:ascii="Gill Sans MT" w:hAnsi="Gill Sans MT"/>
                <w:sz w:val="22"/>
              </w:rPr>
            </w:pPr>
            <w:r w:rsidRPr="007E6C36">
              <w:rPr>
                <w:rFonts w:ascii="Gill Sans MT" w:eastAsia="Times New Roman" w:hAnsi="Gill Sans MT" w:cs="Times New Roman"/>
                <w:sz w:val="22"/>
              </w:rPr>
              <w:t>5-yr survival 62.9% vs 86.7%</w:t>
            </w:r>
          </w:p>
        </w:tc>
        <w:tc>
          <w:tcPr>
            <w:tcW w:w="2268" w:type="dxa"/>
            <w:vAlign w:val="center"/>
          </w:tcPr>
          <w:p w14:paraId="3B81709A" w14:textId="77777777" w:rsidR="000B62AD" w:rsidRPr="007E6C36" w:rsidRDefault="000B62AD" w:rsidP="00B015AF">
            <w:pPr>
              <w:spacing w:before="20" w:after="20"/>
              <w:rPr>
                <w:rFonts w:ascii="Gill Sans MT" w:hAnsi="Gill Sans MT"/>
                <w:sz w:val="22"/>
              </w:rPr>
            </w:pPr>
            <w:proofErr w:type="spellStart"/>
            <w:r w:rsidRPr="007E6C36">
              <w:rPr>
                <w:rFonts w:ascii="Gill Sans MT" w:eastAsia="Times New Roman" w:hAnsi="Gill Sans MT" w:cs="Times New Roman"/>
                <w:sz w:val="22"/>
              </w:rPr>
              <w:t>Hugara</w:t>
            </w:r>
            <w:proofErr w:type="spellEnd"/>
            <w:r w:rsidRPr="007E6C36">
              <w:rPr>
                <w:rFonts w:ascii="Gill Sans MT" w:eastAsia="Times New Roman" w:hAnsi="Gill Sans MT" w:cs="Times New Roman"/>
                <w:sz w:val="22"/>
              </w:rPr>
              <w:t xml:space="preserve"> 2024 [29]</w:t>
            </w:r>
          </w:p>
        </w:tc>
      </w:tr>
      <w:tr w:rsidR="000B62AD" w:rsidRPr="007E6C36" w14:paraId="333C86AC" w14:textId="77777777" w:rsidTr="00B015AF">
        <w:trPr>
          <w:jc w:val="center"/>
        </w:trPr>
        <w:tc>
          <w:tcPr>
            <w:tcW w:w="1701" w:type="dxa"/>
            <w:vAlign w:val="center"/>
          </w:tcPr>
          <w:p w14:paraId="2615A9EA" w14:textId="77777777" w:rsidR="000B62AD" w:rsidRPr="007E6C36" w:rsidRDefault="000B62AD" w:rsidP="00B015AF">
            <w:pPr>
              <w:spacing w:before="20" w:after="20"/>
              <w:rPr>
                <w:rFonts w:ascii="Gill Sans MT" w:hAnsi="Gill Sans MT"/>
                <w:sz w:val="22"/>
              </w:rPr>
            </w:pPr>
          </w:p>
        </w:tc>
        <w:tc>
          <w:tcPr>
            <w:tcW w:w="2268" w:type="dxa"/>
            <w:vAlign w:val="center"/>
          </w:tcPr>
          <w:p w14:paraId="28244B5A" w14:textId="77777777" w:rsidR="000B62AD" w:rsidRPr="007E6C36" w:rsidRDefault="000B62AD" w:rsidP="00B015AF">
            <w:pPr>
              <w:spacing w:before="20" w:after="20"/>
              <w:rPr>
                <w:rFonts w:ascii="Gill Sans MT" w:hAnsi="Gill Sans MT"/>
                <w:sz w:val="22"/>
              </w:rPr>
            </w:pPr>
            <w:r w:rsidRPr="007E6C36">
              <w:rPr>
                <w:rFonts w:ascii="Gill Sans MT" w:eastAsia="Times New Roman" w:hAnsi="Gill Sans MT" w:cs="Times New Roman"/>
                <w:sz w:val="22"/>
              </w:rPr>
              <w:t>Age ≥50 years</w:t>
            </w:r>
          </w:p>
        </w:tc>
        <w:tc>
          <w:tcPr>
            <w:tcW w:w="2324" w:type="dxa"/>
            <w:vAlign w:val="center"/>
          </w:tcPr>
          <w:p w14:paraId="136B9144" w14:textId="77777777" w:rsidR="000B62AD" w:rsidRPr="007E6C36" w:rsidRDefault="000B62AD" w:rsidP="00B015AF">
            <w:pPr>
              <w:spacing w:before="20" w:after="20"/>
              <w:rPr>
                <w:rFonts w:ascii="Gill Sans MT" w:hAnsi="Gill Sans MT"/>
                <w:sz w:val="22"/>
              </w:rPr>
            </w:pPr>
            <w:r w:rsidRPr="007E6C36">
              <w:rPr>
                <w:rFonts w:ascii="Gill Sans MT" w:eastAsia="Times New Roman" w:hAnsi="Gill Sans MT" w:cs="Times New Roman"/>
                <w:sz w:val="22"/>
              </w:rPr>
              <w:t>Predictor identified</w:t>
            </w:r>
          </w:p>
        </w:tc>
        <w:tc>
          <w:tcPr>
            <w:tcW w:w="2268" w:type="dxa"/>
            <w:vAlign w:val="center"/>
          </w:tcPr>
          <w:p w14:paraId="20B0A1D1" w14:textId="77777777" w:rsidR="000B62AD" w:rsidRPr="007E6C36" w:rsidRDefault="000B62AD" w:rsidP="00B015AF">
            <w:pPr>
              <w:spacing w:before="20" w:after="20"/>
              <w:rPr>
                <w:rFonts w:ascii="Gill Sans MT" w:hAnsi="Gill Sans MT"/>
                <w:sz w:val="22"/>
              </w:rPr>
            </w:pPr>
            <w:r w:rsidRPr="007E6C36">
              <w:rPr>
                <w:rFonts w:ascii="Gill Sans MT" w:eastAsia="Times New Roman" w:hAnsi="Gill Sans MT" w:cs="Times New Roman"/>
                <w:sz w:val="22"/>
              </w:rPr>
              <w:t>Zheng 2020 [4]</w:t>
            </w:r>
          </w:p>
        </w:tc>
      </w:tr>
      <w:tr w:rsidR="000B62AD" w:rsidRPr="007E6C36" w14:paraId="23EB3807" w14:textId="77777777" w:rsidTr="00B015AF">
        <w:trPr>
          <w:jc w:val="center"/>
        </w:trPr>
        <w:tc>
          <w:tcPr>
            <w:tcW w:w="1701" w:type="dxa"/>
            <w:vAlign w:val="center"/>
          </w:tcPr>
          <w:p w14:paraId="340753B8" w14:textId="77777777" w:rsidR="000B62AD" w:rsidRPr="007E6C36" w:rsidRDefault="000B62AD" w:rsidP="00B015AF">
            <w:pPr>
              <w:spacing w:before="20" w:after="20"/>
              <w:rPr>
                <w:rFonts w:ascii="Gill Sans MT" w:hAnsi="Gill Sans MT"/>
                <w:sz w:val="22"/>
              </w:rPr>
            </w:pPr>
          </w:p>
        </w:tc>
        <w:tc>
          <w:tcPr>
            <w:tcW w:w="2268" w:type="dxa"/>
            <w:vAlign w:val="center"/>
          </w:tcPr>
          <w:p w14:paraId="18238E84" w14:textId="77777777" w:rsidR="000B62AD" w:rsidRPr="007E6C36" w:rsidRDefault="000B62AD" w:rsidP="00B015AF">
            <w:pPr>
              <w:spacing w:before="20" w:after="20"/>
              <w:rPr>
                <w:rFonts w:ascii="Gill Sans MT" w:hAnsi="Gill Sans MT"/>
                <w:sz w:val="22"/>
              </w:rPr>
            </w:pPr>
            <w:r w:rsidRPr="007E6C36">
              <w:rPr>
                <w:rFonts w:ascii="Gill Sans MT" w:eastAsia="Times New Roman" w:hAnsi="Gill Sans MT" w:cs="Times New Roman"/>
                <w:sz w:val="22"/>
              </w:rPr>
              <w:t>Advancing age</w:t>
            </w:r>
          </w:p>
        </w:tc>
        <w:tc>
          <w:tcPr>
            <w:tcW w:w="2324" w:type="dxa"/>
            <w:vAlign w:val="center"/>
          </w:tcPr>
          <w:p w14:paraId="271F1B2C" w14:textId="77777777" w:rsidR="000B62AD" w:rsidRPr="007E6C36" w:rsidRDefault="000B62AD" w:rsidP="00B015AF">
            <w:pPr>
              <w:spacing w:before="20" w:after="20"/>
              <w:rPr>
                <w:rFonts w:ascii="Gill Sans MT" w:hAnsi="Gill Sans MT"/>
                <w:sz w:val="22"/>
              </w:rPr>
            </w:pPr>
            <w:r w:rsidRPr="007E6C36">
              <w:rPr>
                <w:rFonts w:ascii="Gill Sans MT" w:eastAsia="Times New Roman" w:hAnsi="Gill Sans MT" w:cs="Times New Roman"/>
                <w:sz w:val="22"/>
              </w:rPr>
              <w:t>Predictor identified</w:t>
            </w:r>
          </w:p>
        </w:tc>
        <w:tc>
          <w:tcPr>
            <w:tcW w:w="2268" w:type="dxa"/>
            <w:vAlign w:val="center"/>
          </w:tcPr>
          <w:p w14:paraId="6F6229D1" w14:textId="77777777" w:rsidR="000B62AD" w:rsidRPr="007E6C36" w:rsidRDefault="000B62AD" w:rsidP="00B015AF">
            <w:pPr>
              <w:spacing w:before="20" w:after="20"/>
              <w:rPr>
                <w:rFonts w:ascii="Gill Sans MT" w:hAnsi="Gill Sans MT"/>
                <w:sz w:val="22"/>
              </w:rPr>
            </w:pPr>
            <w:proofErr w:type="spellStart"/>
            <w:r w:rsidRPr="007E6C36">
              <w:rPr>
                <w:rFonts w:ascii="Gill Sans MT" w:eastAsia="Times New Roman" w:hAnsi="Gill Sans MT" w:cs="Times New Roman"/>
                <w:sz w:val="22"/>
              </w:rPr>
              <w:t>Moosazadeh</w:t>
            </w:r>
            <w:proofErr w:type="spellEnd"/>
            <w:r w:rsidRPr="007E6C36">
              <w:rPr>
                <w:rFonts w:ascii="Gill Sans MT" w:eastAsia="Times New Roman" w:hAnsi="Gill Sans MT" w:cs="Times New Roman"/>
                <w:sz w:val="22"/>
              </w:rPr>
              <w:t xml:space="preserve"> 2014 [6]</w:t>
            </w:r>
          </w:p>
        </w:tc>
      </w:tr>
      <w:tr w:rsidR="000B62AD" w:rsidRPr="007E6C36" w14:paraId="1F7434CE" w14:textId="77777777" w:rsidTr="00B015AF">
        <w:trPr>
          <w:jc w:val="center"/>
        </w:trPr>
        <w:tc>
          <w:tcPr>
            <w:tcW w:w="1701" w:type="dxa"/>
            <w:vAlign w:val="center"/>
          </w:tcPr>
          <w:p w14:paraId="11D13D30" w14:textId="77777777" w:rsidR="000B62AD" w:rsidRPr="007E6C36" w:rsidRDefault="000B62AD" w:rsidP="00B015AF">
            <w:pPr>
              <w:spacing w:before="20" w:after="20"/>
              <w:rPr>
                <w:rFonts w:ascii="Gill Sans MT" w:hAnsi="Gill Sans MT"/>
                <w:sz w:val="22"/>
              </w:rPr>
            </w:pPr>
            <w:r w:rsidRPr="007E6C36">
              <w:rPr>
                <w:rFonts w:ascii="Gill Sans MT" w:eastAsia="Times New Roman" w:hAnsi="Gill Sans MT" w:cs="Times New Roman"/>
                <w:b/>
                <w:sz w:val="22"/>
              </w:rPr>
              <w:t>Comorbidities</w:t>
            </w:r>
          </w:p>
        </w:tc>
        <w:tc>
          <w:tcPr>
            <w:tcW w:w="2268" w:type="dxa"/>
            <w:vAlign w:val="center"/>
          </w:tcPr>
          <w:p w14:paraId="23250958" w14:textId="77777777" w:rsidR="000B62AD" w:rsidRPr="007E6C36" w:rsidRDefault="000B62AD" w:rsidP="00B015AF">
            <w:pPr>
              <w:spacing w:before="20" w:after="20"/>
              <w:rPr>
                <w:rFonts w:ascii="Gill Sans MT" w:hAnsi="Gill Sans MT"/>
                <w:sz w:val="22"/>
              </w:rPr>
            </w:pPr>
          </w:p>
        </w:tc>
        <w:tc>
          <w:tcPr>
            <w:tcW w:w="2324" w:type="dxa"/>
            <w:vAlign w:val="center"/>
          </w:tcPr>
          <w:p w14:paraId="5EE44391" w14:textId="77777777" w:rsidR="000B62AD" w:rsidRPr="007E6C36" w:rsidRDefault="000B62AD" w:rsidP="00B015AF">
            <w:pPr>
              <w:spacing w:before="20" w:after="20"/>
              <w:rPr>
                <w:rFonts w:ascii="Gill Sans MT" w:hAnsi="Gill Sans MT"/>
                <w:sz w:val="22"/>
              </w:rPr>
            </w:pPr>
          </w:p>
        </w:tc>
        <w:tc>
          <w:tcPr>
            <w:tcW w:w="2268" w:type="dxa"/>
            <w:vAlign w:val="center"/>
          </w:tcPr>
          <w:p w14:paraId="76010044" w14:textId="77777777" w:rsidR="000B62AD" w:rsidRPr="007E6C36" w:rsidRDefault="000B62AD" w:rsidP="00B015AF">
            <w:pPr>
              <w:spacing w:before="20" w:after="20"/>
              <w:rPr>
                <w:rFonts w:ascii="Gill Sans MT" w:hAnsi="Gill Sans MT"/>
                <w:sz w:val="22"/>
              </w:rPr>
            </w:pPr>
          </w:p>
        </w:tc>
      </w:tr>
      <w:tr w:rsidR="000B62AD" w:rsidRPr="007E6C36" w14:paraId="30EE0A4B" w14:textId="77777777" w:rsidTr="00B015AF">
        <w:trPr>
          <w:jc w:val="center"/>
        </w:trPr>
        <w:tc>
          <w:tcPr>
            <w:tcW w:w="1701" w:type="dxa"/>
            <w:vAlign w:val="center"/>
          </w:tcPr>
          <w:p w14:paraId="481A7F4E" w14:textId="77777777" w:rsidR="000B62AD" w:rsidRPr="007E6C36" w:rsidRDefault="000B62AD" w:rsidP="00B015AF">
            <w:pPr>
              <w:spacing w:before="20" w:after="20"/>
              <w:rPr>
                <w:rFonts w:ascii="Gill Sans MT" w:hAnsi="Gill Sans MT"/>
                <w:sz w:val="22"/>
              </w:rPr>
            </w:pPr>
          </w:p>
        </w:tc>
        <w:tc>
          <w:tcPr>
            <w:tcW w:w="2268" w:type="dxa"/>
            <w:vAlign w:val="center"/>
          </w:tcPr>
          <w:p w14:paraId="3B929D37" w14:textId="77777777" w:rsidR="000B62AD" w:rsidRPr="007E6C36" w:rsidRDefault="000B62AD" w:rsidP="00B015AF">
            <w:pPr>
              <w:spacing w:before="20" w:after="20"/>
              <w:rPr>
                <w:rFonts w:ascii="Gill Sans MT" w:hAnsi="Gill Sans MT"/>
                <w:sz w:val="22"/>
              </w:rPr>
            </w:pPr>
            <w:r w:rsidRPr="007E6C36">
              <w:rPr>
                <w:rFonts w:ascii="Gill Sans MT" w:eastAsia="Times New Roman" w:hAnsi="Gill Sans MT" w:cs="Times New Roman"/>
                <w:sz w:val="22"/>
              </w:rPr>
              <w:t>Diabetes mellitus</w:t>
            </w:r>
          </w:p>
        </w:tc>
        <w:tc>
          <w:tcPr>
            <w:tcW w:w="2324" w:type="dxa"/>
            <w:vAlign w:val="center"/>
          </w:tcPr>
          <w:p w14:paraId="02A62492" w14:textId="77777777" w:rsidR="000B62AD" w:rsidRPr="007E6C36" w:rsidRDefault="000B62AD" w:rsidP="00B015AF">
            <w:pPr>
              <w:spacing w:before="20" w:after="20"/>
              <w:rPr>
                <w:rFonts w:ascii="Gill Sans MT" w:hAnsi="Gill Sans MT"/>
                <w:sz w:val="22"/>
              </w:rPr>
            </w:pPr>
            <w:r w:rsidRPr="007E6C36">
              <w:rPr>
                <w:rFonts w:ascii="Gill Sans MT" w:eastAsia="Times New Roman" w:hAnsi="Gill Sans MT" w:cs="Times New Roman"/>
                <w:sz w:val="22"/>
              </w:rPr>
              <w:t>Mean survival reduced 7.5 months</w:t>
            </w:r>
          </w:p>
        </w:tc>
        <w:tc>
          <w:tcPr>
            <w:tcW w:w="2268" w:type="dxa"/>
            <w:vAlign w:val="center"/>
          </w:tcPr>
          <w:p w14:paraId="3AD5A37F" w14:textId="77777777" w:rsidR="000B62AD" w:rsidRPr="007E6C36" w:rsidRDefault="000B62AD" w:rsidP="00B015AF">
            <w:pPr>
              <w:spacing w:before="20" w:after="20"/>
              <w:rPr>
                <w:rFonts w:ascii="Gill Sans MT" w:hAnsi="Gill Sans MT"/>
                <w:sz w:val="22"/>
              </w:rPr>
            </w:pPr>
            <w:proofErr w:type="spellStart"/>
            <w:r w:rsidRPr="007E6C36">
              <w:rPr>
                <w:rFonts w:ascii="Gill Sans MT" w:eastAsia="Times New Roman" w:hAnsi="Gill Sans MT" w:cs="Times New Roman"/>
                <w:sz w:val="22"/>
              </w:rPr>
              <w:t>Hugara</w:t>
            </w:r>
            <w:proofErr w:type="spellEnd"/>
            <w:r w:rsidRPr="007E6C36">
              <w:rPr>
                <w:rFonts w:ascii="Gill Sans MT" w:eastAsia="Times New Roman" w:hAnsi="Gill Sans MT" w:cs="Times New Roman"/>
                <w:sz w:val="22"/>
              </w:rPr>
              <w:t xml:space="preserve"> 2024 [29]</w:t>
            </w:r>
          </w:p>
        </w:tc>
      </w:tr>
      <w:tr w:rsidR="000B62AD" w:rsidRPr="007E6C36" w14:paraId="7CA3B911" w14:textId="77777777" w:rsidTr="00B015AF">
        <w:trPr>
          <w:jc w:val="center"/>
        </w:trPr>
        <w:tc>
          <w:tcPr>
            <w:tcW w:w="1701" w:type="dxa"/>
            <w:vAlign w:val="center"/>
          </w:tcPr>
          <w:p w14:paraId="370DB0D8" w14:textId="77777777" w:rsidR="000B62AD" w:rsidRPr="007E6C36" w:rsidRDefault="000B62AD" w:rsidP="00B015AF">
            <w:pPr>
              <w:spacing w:before="20" w:after="20"/>
              <w:rPr>
                <w:rFonts w:ascii="Gill Sans MT" w:hAnsi="Gill Sans MT"/>
                <w:sz w:val="22"/>
              </w:rPr>
            </w:pPr>
          </w:p>
        </w:tc>
        <w:tc>
          <w:tcPr>
            <w:tcW w:w="2268" w:type="dxa"/>
            <w:vAlign w:val="center"/>
          </w:tcPr>
          <w:p w14:paraId="234620E4" w14:textId="77777777" w:rsidR="000B62AD" w:rsidRPr="007E6C36" w:rsidRDefault="000B62AD" w:rsidP="00B015AF">
            <w:pPr>
              <w:spacing w:before="20" w:after="20"/>
              <w:rPr>
                <w:rFonts w:ascii="Gill Sans MT" w:hAnsi="Gill Sans MT"/>
                <w:sz w:val="22"/>
              </w:rPr>
            </w:pPr>
            <w:r w:rsidRPr="007E6C36">
              <w:rPr>
                <w:rFonts w:ascii="Gill Sans MT" w:eastAsia="Times New Roman" w:hAnsi="Gill Sans MT" w:cs="Times New Roman"/>
                <w:sz w:val="22"/>
              </w:rPr>
              <w:t>Diabetes, ESRD</w:t>
            </w:r>
          </w:p>
        </w:tc>
        <w:tc>
          <w:tcPr>
            <w:tcW w:w="2324" w:type="dxa"/>
            <w:vAlign w:val="center"/>
          </w:tcPr>
          <w:p w14:paraId="54689D2C" w14:textId="77777777" w:rsidR="000B62AD" w:rsidRPr="007E6C36" w:rsidRDefault="000B62AD" w:rsidP="00B015AF">
            <w:pPr>
              <w:spacing w:before="20" w:after="20"/>
              <w:rPr>
                <w:rFonts w:ascii="Gill Sans MT" w:hAnsi="Gill Sans MT"/>
                <w:sz w:val="22"/>
              </w:rPr>
            </w:pPr>
            <w:r w:rsidRPr="007E6C36">
              <w:rPr>
                <w:rFonts w:ascii="Gill Sans MT" w:eastAsia="Times New Roman" w:hAnsi="Gill Sans MT" w:cs="Times New Roman"/>
                <w:sz w:val="22"/>
              </w:rPr>
              <w:t>Predictors identified</w:t>
            </w:r>
          </w:p>
        </w:tc>
        <w:tc>
          <w:tcPr>
            <w:tcW w:w="2268" w:type="dxa"/>
            <w:vAlign w:val="center"/>
          </w:tcPr>
          <w:p w14:paraId="4C6292BA" w14:textId="77777777" w:rsidR="000B62AD" w:rsidRPr="007E6C36" w:rsidRDefault="000B62AD" w:rsidP="00B015AF">
            <w:pPr>
              <w:spacing w:before="20" w:after="20"/>
              <w:rPr>
                <w:rFonts w:ascii="Gill Sans MT" w:hAnsi="Gill Sans MT"/>
                <w:sz w:val="22"/>
              </w:rPr>
            </w:pPr>
            <w:proofErr w:type="spellStart"/>
            <w:r w:rsidRPr="007E6C36">
              <w:rPr>
                <w:rFonts w:ascii="Gill Sans MT" w:eastAsia="Times New Roman" w:hAnsi="Gill Sans MT" w:cs="Times New Roman"/>
                <w:sz w:val="22"/>
              </w:rPr>
              <w:t>Gorvetzian</w:t>
            </w:r>
            <w:proofErr w:type="spellEnd"/>
            <w:r w:rsidRPr="007E6C36">
              <w:rPr>
                <w:rFonts w:ascii="Gill Sans MT" w:eastAsia="Times New Roman" w:hAnsi="Gill Sans MT" w:cs="Times New Roman"/>
                <w:sz w:val="22"/>
              </w:rPr>
              <w:t xml:space="preserve"> 2024 [21]</w:t>
            </w:r>
          </w:p>
        </w:tc>
      </w:tr>
      <w:tr w:rsidR="000B62AD" w:rsidRPr="007E6C36" w14:paraId="77B6F5C2" w14:textId="77777777" w:rsidTr="00B015AF">
        <w:trPr>
          <w:jc w:val="center"/>
        </w:trPr>
        <w:tc>
          <w:tcPr>
            <w:tcW w:w="1701" w:type="dxa"/>
            <w:vAlign w:val="center"/>
          </w:tcPr>
          <w:p w14:paraId="2FFFB6AA" w14:textId="77777777" w:rsidR="000B62AD" w:rsidRPr="007E6C36" w:rsidRDefault="000B62AD" w:rsidP="00B015AF">
            <w:pPr>
              <w:spacing w:before="20" w:after="20"/>
              <w:rPr>
                <w:rFonts w:ascii="Gill Sans MT" w:hAnsi="Gill Sans MT"/>
                <w:sz w:val="22"/>
              </w:rPr>
            </w:pPr>
          </w:p>
        </w:tc>
        <w:tc>
          <w:tcPr>
            <w:tcW w:w="2268" w:type="dxa"/>
            <w:vAlign w:val="center"/>
          </w:tcPr>
          <w:p w14:paraId="000F6A68" w14:textId="77777777" w:rsidR="000B62AD" w:rsidRPr="007E6C36" w:rsidRDefault="000B62AD" w:rsidP="00B015AF">
            <w:pPr>
              <w:spacing w:before="20" w:after="20"/>
              <w:rPr>
                <w:rFonts w:ascii="Gill Sans MT" w:hAnsi="Gill Sans MT"/>
                <w:sz w:val="22"/>
              </w:rPr>
            </w:pPr>
            <w:r w:rsidRPr="007E6C36">
              <w:rPr>
                <w:rFonts w:ascii="Gill Sans MT" w:eastAsia="Times New Roman" w:hAnsi="Gill Sans MT" w:cs="Times New Roman"/>
                <w:sz w:val="22"/>
              </w:rPr>
              <w:t>Kidney failure, cancer</w:t>
            </w:r>
          </w:p>
        </w:tc>
        <w:tc>
          <w:tcPr>
            <w:tcW w:w="2324" w:type="dxa"/>
            <w:vAlign w:val="center"/>
          </w:tcPr>
          <w:p w14:paraId="6A71D8AB" w14:textId="77777777" w:rsidR="000B62AD" w:rsidRPr="007E6C36" w:rsidRDefault="000B62AD" w:rsidP="00B015AF">
            <w:pPr>
              <w:spacing w:before="20" w:after="20"/>
              <w:rPr>
                <w:rFonts w:ascii="Gill Sans MT" w:hAnsi="Gill Sans MT"/>
                <w:sz w:val="22"/>
              </w:rPr>
            </w:pPr>
            <w:r w:rsidRPr="007E6C36">
              <w:rPr>
                <w:rFonts w:ascii="Gill Sans MT" w:eastAsia="Times New Roman" w:hAnsi="Gill Sans MT" w:cs="Times New Roman"/>
                <w:sz w:val="22"/>
              </w:rPr>
              <w:t>Predictors identified</w:t>
            </w:r>
          </w:p>
        </w:tc>
        <w:tc>
          <w:tcPr>
            <w:tcW w:w="2268" w:type="dxa"/>
            <w:vAlign w:val="center"/>
          </w:tcPr>
          <w:p w14:paraId="2C91FD81" w14:textId="77777777" w:rsidR="000B62AD" w:rsidRPr="007E6C36" w:rsidRDefault="000B62AD" w:rsidP="00B015AF">
            <w:pPr>
              <w:spacing w:before="20" w:after="20"/>
              <w:rPr>
                <w:rFonts w:ascii="Gill Sans MT" w:hAnsi="Gill Sans MT"/>
                <w:sz w:val="22"/>
              </w:rPr>
            </w:pPr>
            <w:proofErr w:type="spellStart"/>
            <w:r w:rsidRPr="007E6C36">
              <w:rPr>
                <w:rFonts w:ascii="Gill Sans MT" w:eastAsia="Times New Roman" w:hAnsi="Gill Sans MT" w:cs="Times New Roman"/>
                <w:sz w:val="22"/>
              </w:rPr>
              <w:t>Moosazadeh</w:t>
            </w:r>
            <w:proofErr w:type="spellEnd"/>
            <w:r w:rsidRPr="007E6C36">
              <w:rPr>
                <w:rFonts w:ascii="Gill Sans MT" w:eastAsia="Times New Roman" w:hAnsi="Gill Sans MT" w:cs="Times New Roman"/>
                <w:sz w:val="22"/>
              </w:rPr>
              <w:t xml:space="preserve"> 2014 [6]</w:t>
            </w:r>
          </w:p>
        </w:tc>
      </w:tr>
      <w:tr w:rsidR="000B62AD" w:rsidRPr="007E6C36" w14:paraId="5DF5023B" w14:textId="77777777" w:rsidTr="00B015AF">
        <w:trPr>
          <w:jc w:val="center"/>
        </w:trPr>
        <w:tc>
          <w:tcPr>
            <w:tcW w:w="1701" w:type="dxa"/>
            <w:vAlign w:val="center"/>
          </w:tcPr>
          <w:p w14:paraId="40FF00A6" w14:textId="77777777" w:rsidR="000B62AD" w:rsidRPr="007E6C36" w:rsidRDefault="000B62AD" w:rsidP="00B015AF">
            <w:pPr>
              <w:spacing w:before="20" w:after="20"/>
              <w:rPr>
                <w:rFonts w:ascii="Gill Sans MT" w:hAnsi="Gill Sans MT"/>
                <w:sz w:val="22"/>
              </w:rPr>
            </w:pPr>
            <w:r w:rsidRPr="007E6C36">
              <w:rPr>
                <w:rFonts w:ascii="Gill Sans MT" w:eastAsia="Times New Roman" w:hAnsi="Gill Sans MT" w:cs="Times New Roman"/>
                <w:b/>
                <w:sz w:val="22"/>
              </w:rPr>
              <w:t>Socioeconomic</w:t>
            </w:r>
          </w:p>
        </w:tc>
        <w:tc>
          <w:tcPr>
            <w:tcW w:w="2268" w:type="dxa"/>
            <w:vAlign w:val="center"/>
          </w:tcPr>
          <w:p w14:paraId="11C8ACCF" w14:textId="77777777" w:rsidR="000B62AD" w:rsidRPr="007E6C36" w:rsidRDefault="000B62AD" w:rsidP="00B015AF">
            <w:pPr>
              <w:spacing w:before="20" w:after="20"/>
              <w:rPr>
                <w:rFonts w:ascii="Gill Sans MT" w:hAnsi="Gill Sans MT"/>
                <w:sz w:val="22"/>
              </w:rPr>
            </w:pPr>
          </w:p>
        </w:tc>
        <w:tc>
          <w:tcPr>
            <w:tcW w:w="2324" w:type="dxa"/>
            <w:vAlign w:val="center"/>
          </w:tcPr>
          <w:p w14:paraId="5A9A4622" w14:textId="77777777" w:rsidR="000B62AD" w:rsidRPr="007E6C36" w:rsidRDefault="000B62AD" w:rsidP="00B015AF">
            <w:pPr>
              <w:spacing w:before="20" w:after="20"/>
              <w:rPr>
                <w:rFonts w:ascii="Gill Sans MT" w:hAnsi="Gill Sans MT"/>
                <w:sz w:val="22"/>
              </w:rPr>
            </w:pPr>
          </w:p>
        </w:tc>
        <w:tc>
          <w:tcPr>
            <w:tcW w:w="2268" w:type="dxa"/>
            <w:vAlign w:val="center"/>
          </w:tcPr>
          <w:p w14:paraId="6B816462" w14:textId="77777777" w:rsidR="000B62AD" w:rsidRPr="007E6C36" w:rsidRDefault="000B62AD" w:rsidP="00B015AF">
            <w:pPr>
              <w:spacing w:before="20" w:after="20"/>
              <w:rPr>
                <w:rFonts w:ascii="Gill Sans MT" w:hAnsi="Gill Sans MT"/>
                <w:sz w:val="22"/>
              </w:rPr>
            </w:pPr>
          </w:p>
        </w:tc>
      </w:tr>
      <w:tr w:rsidR="000B62AD" w:rsidRPr="007E6C36" w14:paraId="48DDF46B" w14:textId="77777777" w:rsidTr="00B015AF">
        <w:trPr>
          <w:jc w:val="center"/>
        </w:trPr>
        <w:tc>
          <w:tcPr>
            <w:tcW w:w="1701" w:type="dxa"/>
            <w:vAlign w:val="center"/>
          </w:tcPr>
          <w:p w14:paraId="1B636A60" w14:textId="77777777" w:rsidR="000B62AD" w:rsidRPr="007E6C36" w:rsidRDefault="000B62AD" w:rsidP="00B015AF">
            <w:pPr>
              <w:spacing w:before="20" w:after="20"/>
              <w:rPr>
                <w:rFonts w:ascii="Gill Sans MT" w:hAnsi="Gill Sans MT"/>
                <w:sz w:val="22"/>
              </w:rPr>
            </w:pPr>
          </w:p>
        </w:tc>
        <w:tc>
          <w:tcPr>
            <w:tcW w:w="2268" w:type="dxa"/>
            <w:vAlign w:val="center"/>
          </w:tcPr>
          <w:p w14:paraId="4FF4AFA7" w14:textId="77777777" w:rsidR="000B62AD" w:rsidRPr="007E6C36" w:rsidRDefault="000B62AD" w:rsidP="00B015AF">
            <w:pPr>
              <w:spacing w:before="20" w:after="20"/>
              <w:rPr>
                <w:rFonts w:ascii="Gill Sans MT" w:hAnsi="Gill Sans MT"/>
                <w:sz w:val="22"/>
              </w:rPr>
            </w:pPr>
            <w:r w:rsidRPr="007E6C36">
              <w:rPr>
                <w:rFonts w:ascii="Gill Sans MT" w:eastAsia="Times New Roman" w:hAnsi="Gill Sans MT" w:cs="Times New Roman"/>
                <w:sz w:val="22"/>
              </w:rPr>
              <w:t>Unemployment</w:t>
            </w:r>
          </w:p>
        </w:tc>
        <w:tc>
          <w:tcPr>
            <w:tcW w:w="2324" w:type="dxa"/>
            <w:vAlign w:val="center"/>
          </w:tcPr>
          <w:p w14:paraId="79037E25" w14:textId="77777777" w:rsidR="000B62AD" w:rsidRPr="007E6C36" w:rsidRDefault="000B62AD" w:rsidP="00B015AF">
            <w:pPr>
              <w:spacing w:before="20" w:after="20"/>
              <w:rPr>
                <w:rFonts w:ascii="Gill Sans MT" w:hAnsi="Gill Sans MT"/>
                <w:sz w:val="22"/>
              </w:rPr>
            </w:pPr>
            <w:proofErr w:type="spellStart"/>
            <w:r w:rsidRPr="007E6C36">
              <w:rPr>
                <w:rFonts w:ascii="Gill Sans MT" w:eastAsia="Times New Roman" w:hAnsi="Gill Sans MT" w:cs="Times New Roman"/>
                <w:sz w:val="22"/>
              </w:rPr>
              <w:t>aHR</w:t>
            </w:r>
            <w:proofErr w:type="spellEnd"/>
            <w:r w:rsidRPr="007E6C36">
              <w:rPr>
                <w:rFonts w:ascii="Gill Sans MT" w:eastAsia="Times New Roman" w:hAnsi="Gill Sans MT" w:cs="Times New Roman"/>
                <w:sz w:val="22"/>
              </w:rPr>
              <w:t xml:space="preserve"> 7.04 (1.5–31.6)</w:t>
            </w:r>
          </w:p>
        </w:tc>
        <w:tc>
          <w:tcPr>
            <w:tcW w:w="2268" w:type="dxa"/>
            <w:vAlign w:val="center"/>
          </w:tcPr>
          <w:p w14:paraId="160B4189" w14:textId="77777777" w:rsidR="000B62AD" w:rsidRPr="007E6C36" w:rsidRDefault="000B62AD" w:rsidP="00B015AF">
            <w:pPr>
              <w:spacing w:before="20" w:after="20"/>
              <w:rPr>
                <w:rFonts w:ascii="Gill Sans MT" w:hAnsi="Gill Sans MT"/>
                <w:sz w:val="22"/>
              </w:rPr>
            </w:pPr>
            <w:proofErr w:type="spellStart"/>
            <w:r w:rsidRPr="007E6C36">
              <w:rPr>
                <w:rFonts w:ascii="Gill Sans MT" w:eastAsia="Times New Roman" w:hAnsi="Gill Sans MT" w:cs="Times New Roman"/>
                <w:sz w:val="22"/>
              </w:rPr>
              <w:t>Baluku</w:t>
            </w:r>
            <w:proofErr w:type="spellEnd"/>
            <w:r w:rsidRPr="007E6C36">
              <w:rPr>
                <w:rFonts w:ascii="Gill Sans MT" w:eastAsia="Times New Roman" w:hAnsi="Gill Sans MT" w:cs="Times New Roman"/>
                <w:sz w:val="22"/>
              </w:rPr>
              <w:t xml:space="preserve"> 2024 [1]</w:t>
            </w:r>
          </w:p>
        </w:tc>
      </w:tr>
      <w:tr w:rsidR="000B62AD" w:rsidRPr="007E6C36" w14:paraId="0D8FB027" w14:textId="77777777" w:rsidTr="00B015AF">
        <w:trPr>
          <w:jc w:val="center"/>
        </w:trPr>
        <w:tc>
          <w:tcPr>
            <w:tcW w:w="1701" w:type="dxa"/>
            <w:vAlign w:val="center"/>
          </w:tcPr>
          <w:p w14:paraId="05F689F0" w14:textId="77777777" w:rsidR="000B62AD" w:rsidRPr="007E6C36" w:rsidRDefault="000B62AD" w:rsidP="00B015AF">
            <w:pPr>
              <w:spacing w:before="20" w:after="20"/>
              <w:rPr>
                <w:rFonts w:ascii="Gill Sans MT" w:hAnsi="Gill Sans MT"/>
                <w:sz w:val="22"/>
              </w:rPr>
            </w:pPr>
          </w:p>
        </w:tc>
        <w:tc>
          <w:tcPr>
            <w:tcW w:w="2268" w:type="dxa"/>
            <w:vAlign w:val="center"/>
          </w:tcPr>
          <w:p w14:paraId="5E16603A" w14:textId="77777777" w:rsidR="000B62AD" w:rsidRPr="007E6C36" w:rsidRDefault="000B62AD" w:rsidP="00B015AF">
            <w:pPr>
              <w:spacing w:before="20" w:after="20"/>
              <w:rPr>
                <w:rFonts w:ascii="Gill Sans MT" w:hAnsi="Gill Sans MT"/>
                <w:sz w:val="22"/>
              </w:rPr>
            </w:pPr>
            <w:r w:rsidRPr="007E6C36">
              <w:rPr>
                <w:rFonts w:ascii="Gill Sans MT" w:eastAsia="Times New Roman" w:hAnsi="Gill Sans MT" w:cs="Times New Roman"/>
                <w:sz w:val="22"/>
              </w:rPr>
              <w:t>Farmer occupation</w:t>
            </w:r>
          </w:p>
        </w:tc>
        <w:tc>
          <w:tcPr>
            <w:tcW w:w="2324" w:type="dxa"/>
            <w:vAlign w:val="center"/>
          </w:tcPr>
          <w:p w14:paraId="1B767913" w14:textId="77777777" w:rsidR="000B62AD" w:rsidRPr="007E6C36" w:rsidRDefault="000B62AD" w:rsidP="00B015AF">
            <w:pPr>
              <w:spacing w:before="20" w:after="20"/>
              <w:rPr>
                <w:rFonts w:ascii="Gill Sans MT" w:hAnsi="Gill Sans MT"/>
                <w:sz w:val="22"/>
              </w:rPr>
            </w:pPr>
            <w:r w:rsidRPr="007E6C36">
              <w:rPr>
                <w:rFonts w:ascii="Gill Sans MT" w:eastAsia="Times New Roman" w:hAnsi="Gill Sans MT" w:cs="Times New Roman"/>
                <w:sz w:val="22"/>
              </w:rPr>
              <w:t>Predictor identified</w:t>
            </w:r>
          </w:p>
        </w:tc>
        <w:tc>
          <w:tcPr>
            <w:tcW w:w="2268" w:type="dxa"/>
            <w:vAlign w:val="center"/>
          </w:tcPr>
          <w:p w14:paraId="2B0F85E0" w14:textId="77777777" w:rsidR="000B62AD" w:rsidRPr="007E6C36" w:rsidRDefault="000B62AD" w:rsidP="00B015AF">
            <w:pPr>
              <w:spacing w:before="20" w:after="20"/>
              <w:rPr>
                <w:rFonts w:ascii="Gill Sans MT" w:hAnsi="Gill Sans MT"/>
                <w:sz w:val="22"/>
              </w:rPr>
            </w:pPr>
            <w:r w:rsidRPr="007E6C36">
              <w:rPr>
                <w:rFonts w:ascii="Gill Sans MT" w:eastAsia="Times New Roman" w:hAnsi="Gill Sans MT" w:cs="Times New Roman"/>
                <w:sz w:val="22"/>
              </w:rPr>
              <w:t>Zheng 2020 [4]</w:t>
            </w:r>
          </w:p>
        </w:tc>
      </w:tr>
      <w:tr w:rsidR="000B62AD" w:rsidRPr="007E6C36" w14:paraId="55B783FC" w14:textId="77777777" w:rsidTr="00B015AF">
        <w:trPr>
          <w:jc w:val="center"/>
        </w:trPr>
        <w:tc>
          <w:tcPr>
            <w:tcW w:w="1701" w:type="dxa"/>
            <w:vAlign w:val="center"/>
          </w:tcPr>
          <w:p w14:paraId="5C659079" w14:textId="77777777" w:rsidR="000B62AD" w:rsidRPr="007E6C36" w:rsidRDefault="000B62AD" w:rsidP="00B015AF">
            <w:pPr>
              <w:spacing w:before="20" w:after="20"/>
              <w:rPr>
                <w:rFonts w:ascii="Gill Sans MT" w:hAnsi="Gill Sans MT"/>
                <w:sz w:val="22"/>
              </w:rPr>
            </w:pPr>
            <w:r w:rsidRPr="007E6C36">
              <w:rPr>
                <w:rFonts w:ascii="Gill Sans MT" w:eastAsia="Times New Roman" w:hAnsi="Gill Sans MT" w:cs="Times New Roman"/>
                <w:b/>
                <w:sz w:val="22"/>
              </w:rPr>
              <w:t>Behavioral</w:t>
            </w:r>
          </w:p>
        </w:tc>
        <w:tc>
          <w:tcPr>
            <w:tcW w:w="2268" w:type="dxa"/>
            <w:vAlign w:val="center"/>
          </w:tcPr>
          <w:p w14:paraId="3F6456A9" w14:textId="77777777" w:rsidR="000B62AD" w:rsidRPr="007E6C36" w:rsidRDefault="000B62AD" w:rsidP="00B015AF">
            <w:pPr>
              <w:spacing w:before="20" w:after="20"/>
              <w:rPr>
                <w:rFonts w:ascii="Gill Sans MT" w:hAnsi="Gill Sans MT"/>
                <w:sz w:val="22"/>
              </w:rPr>
            </w:pPr>
          </w:p>
        </w:tc>
        <w:tc>
          <w:tcPr>
            <w:tcW w:w="2324" w:type="dxa"/>
            <w:vAlign w:val="center"/>
          </w:tcPr>
          <w:p w14:paraId="075D7008" w14:textId="77777777" w:rsidR="000B62AD" w:rsidRPr="007E6C36" w:rsidRDefault="000B62AD" w:rsidP="00B015AF">
            <w:pPr>
              <w:spacing w:before="20" w:after="20"/>
              <w:rPr>
                <w:rFonts w:ascii="Gill Sans MT" w:hAnsi="Gill Sans MT"/>
                <w:sz w:val="22"/>
              </w:rPr>
            </w:pPr>
          </w:p>
        </w:tc>
        <w:tc>
          <w:tcPr>
            <w:tcW w:w="2268" w:type="dxa"/>
            <w:vAlign w:val="center"/>
          </w:tcPr>
          <w:p w14:paraId="269FA632" w14:textId="77777777" w:rsidR="000B62AD" w:rsidRPr="007E6C36" w:rsidRDefault="000B62AD" w:rsidP="00B015AF">
            <w:pPr>
              <w:spacing w:before="20" w:after="20"/>
              <w:rPr>
                <w:rFonts w:ascii="Gill Sans MT" w:hAnsi="Gill Sans MT"/>
                <w:sz w:val="22"/>
              </w:rPr>
            </w:pPr>
          </w:p>
        </w:tc>
      </w:tr>
      <w:tr w:rsidR="000B62AD" w:rsidRPr="007E6C36" w14:paraId="34E3224D" w14:textId="77777777" w:rsidTr="00B015AF">
        <w:trPr>
          <w:jc w:val="center"/>
        </w:trPr>
        <w:tc>
          <w:tcPr>
            <w:tcW w:w="1701" w:type="dxa"/>
            <w:vAlign w:val="center"/>
          </w:tcPr>
          <w:p w14:paraId="7C4F40BF" w14:textId="77777777" w:rsidR="000B62AD" w:rsidRPr="007E6C36" w:rsidRDefault="000B62AD" w:rsidP="00B015AF">
            <w:pPr>
              <w:spacing w:before="20" w:after="20"/>
              <w:rPr>
                <w:rFonts w:ascii="Gill Sans MT" w:hAnsi="Gill Sans MT"/>
                <w:sz w:val="22"/>
              </w:rPr>
            </w:pPr>
          </w:p>
        </w:tc>
        <w:tc>
          <w:tcPr>
            <w:tcW w:w="2268" w:type="dxa"/>
            <w:vAlign w:val="center"/>
          </w:tcPr>
          <w:p w14:paraId="0773D64D" w14:textId="77777777" w:rsidR="000B62AD" w:rsidRPr="007E6C36" w:rsidRDefault="000B62AD" w:rsidP="00B015AF">
            <w:pPr>
              <w:spacing w:before="20" w:after="20"/>
              <w:rPr>
                <w:rFonts w:ascii="Gill Sans MT" w:hAnsi="Gill Sans MT"/>
                <w:sz w:val="22"/>
              </w:rPr>
            </w:pPr>
            <w:r w:rsidRPr="007E6C36">
              <w:rPr>
                <w:rFonts w:ascii="Gill Sans MT" w:eastAsia="Times New Roman" w:hAnsi="Gill Sans MT" w:cs="Times New Roman"/>
                <w:sz w:val="22"/>
              </w:rPr>
              <w:t>Alcoholism</w:t>
            </w:r>
          </w:p>
        </w:tc>
        <w:tc>
          <w:tcPr>
            <w:tcW w:w="2324" w:type="dxa"/>
            <w:vAlign w:val="center"/>
          </w:tcPr>
          <w:p w14:paraId="01F105A5" w14:textId="77777777" w:rsidR="000B62AD" w:rsidRPr="007E6C36" w:rsidRDefault="000B62AD" w:rsidP="00B015AF">
            <w:pPr>
              <w:spacing w:before="20" w:after="20"/>
              <w:rPr>
                <w:rFonts w:ascii="Gill Sans MT" w:hAnsi="Gill Sans MT"/>
                <w:sz w:val="22"/>
              </w:rPr>
            </w:pPr>
            <w:r w:rsidRPr="007E6C36">
              <w:rPr>
                <w:rFonts w:ascii="Gill Sans MT" w:eastAsia="Times New Roman" w:hAnsi="Gill Sans MT" w:cs="Times New Roman"/>
                <w:sz w:val="22"/>
              </w:rPr>
              <w:t>Mean survival reduced 8.2 months</w:t>
            </w:r>
          </w:p>
        </w:tc>
        <w:tc>
          <w:tcPr>
            <w:tcW w:w="2268" w:type="dxa"/>
            <w:vAlign w:val="center"/>
          </w:tcPr>
          <w:p w14:paraId="16722ADD" w14:textId="77777777" w:rsidR="000B62AD" w:rsidRPr="007E6C36" w:rsidRDefault="000B62AD" w:rsidP="00B015AF">
            <w:pPr>
              <w:spacing w:before="20" w:after="20"/>
              <w:rPr>
                <w:rFonts w:ascii="Gill Sans MT" w:hAnsi="Gill Sans MT"/>
                <w:sz w:val="22"/>
              </w:rPr>
            </w:pPr>
            <w:proofErr w:type="spellStart"/>
            <w:r w:rsidRPr="007E6C36">
              <w:rPr>
                <w:rFonts w:ascii="Gill Sans MT" w:eastAsia="Times New Roman" w:hAnsi="Gill Sans MT" w:cs="Times New Roman"/>
                <w:sz w:val="22"/>
              </w:rPr>
              <w:t>Hugara</w:t>
            </w:r>
            <w:proofErr w:type="spellEnd"/>
            <w:r w:rsidRPr="007E6C36">
              <w:rPr>
                <w:rFonts w:ascii="Gill Sans MT" w:eastAsia="Times New Roman" w:hAnsi="Gill Sans MT" w:cs="Times New Roman"/>
                <w:sz w:val="22"/>
              </w:rPr>
              <w:t xml:space="preserve"> 2024 [29]</w:t>
            </w:r>
          </w:p>
        </w:tc>
      </w:tr>
      <w:tr w:rsidR="000B62AD" w:rsidRPr="007E6C36" w14:paraId="58036EA9" w14:textId="77777777" w:rsidTr="00B015AF">
        <w:trPr>
          <w:jc w:val="center"/>
        </w:trPr>
        <w:tc>
          <w:tcPr>
            <w:tcW w:w="1701" w:type="dxa"/>
            <w:vAlign w:val="center"/>
          </w:tcPr>
          <w:p w14:paraId="08A7AF6E" w14:textId="77777777" w:rsidR="000B62AD" w:rsidRPr="007E6C36" w:rsidRDefault="000B62AD" w:rsidP="00B015AF">
            <w:pPr>
              <w:spacing w:before="20" w:after="20"/>
              <w:rPr>
                <w:rFonts w:ascii="Gill Sans MT" w:hAnsi="Gill Sans MT"/>
                <w:sz w:val="22"/>
              </w:rPr>
            </w:pPr>
          </w:p>
        </w:tc>
        <w:tc>
          <w:tcPr>
            <w:tcW w:w="2268" w:type="dxa"/>
            <w:vAlign w:val="center"/>
          </w:tcPr>
          <w:p w14:paraId="2401BF11" w14:textId="77777777" w:rsidR="000B62AD" w:rsidRPr="007E6C36" w:rsidRDefault="000B62AD" w:rsidP="00B015AF">
            <w:pPr>
              <w:spacing w:before="20" w:after="20"/>
              <w:rPr>
                <w:rFonts w:ascii="Gill Sans MT" w:hAnsi="Gill Sans MT"/>
                <w:sz w:val="22"/>
              </w:rPr>
            </w:pPr>
            <w:r w:rsidRPr="007E6C36">
              <w:rPr>
                <w:rFonts w:ascii="Gill Sans MT" w:eastAsia="Times New Roman" w:hAnsi="Gill Sans MT" w:cs="Times New Roman"/>
                <w:sz w:val="22"/>
              </w:rPr>
              <w:t>Smoking</w:t>
            </w:r>
          </w:p>
        </w:tc>
        <w:tc>
          <w:tcPr>
            <w:tcW w:w="2324" w:type="dxa"/>
            <w:vAlign w:val="center"/>
          </w:tcPr>
          <w:p w14:paraId="720BBA2D" w14:textId="77777777" w:rsidR="000B62AD" w:rsidRPr="007E6C36" w:rsidRDefault="000B62AD" w:rsidP="00B015AF">
            <w:pPr>
              <w:spacing w:before="20" w:after="20"/>
              <w:rPr>
                <w:rFonts w:ascii="Gill Sans MT" w:hAnsi="Gill Sans MT"/>
                <w:sz w:val="22"/>
              </w:rPr>
            </w:pPr>
            <w:r w:rsidRPr="007E6C36">
              <w:rPr>
                <w:rFonts w:ascii="Gill Sans MT" w:eastAsia="Times New Roman" w:hAnsi="Gill Sans MT" w:cs="Times New Roman"/>
                <w:sz w:val="22"/>
              </w:rPr>
              <w:t>Mean survival reduced 6.8 months</w:t>
            </w:r>
          </w:p>
        </w:tc>
        <w:tc>
          <w:tcPr>
            <w:tcW w:w="2268" w:type="dxa"/>
            <w:vAlign w:val="center"/>
          </w:tcPr>
          <w:p w14:paraId="46F249BB" w14:textId="77777777" w:rsidR="000B62AD" w:rsidRPr="007E6C36" w:rsidRDefault="000B62AD" w:rsidP="00B015AF">
            <w:pPr>
              <w:spacing w:before="20" w:after="20"/>
              <w:rPr>
                <w:rFonts w:ascii="Gill Sans MT" w:hAnsi="Gill Sans MT"/>
                <w:sz w:val="22"/>
              </w:rPr>
            </w:pPr>
            <w:proofErr w:type="spellStart"/>
            <w:r w:rsidRPr="007E6C36">
              <w:rPr>
                <w:rFonts w:ascii="Gill Sans MT" w:eastAsia="Times New Roman" w:hAnsi="Gill Sans MT" w:cs="Times New Roman"/>
                <w:sz w:val="22"/>
              </w:rPr>
              <w:t>Hugara</w:t>
            </w:r>
            <w:proofErr w:type="spellEnd"/>
            <w:r w:rsidRPr="007E6C36">
              <w:rPr>
                <w:rFonts w:ascii="Gill Sans MT" w:eastAsia="Times New Roman" w:hAnsi="Gill Sans MT" w:cs="Times New Roman"/>
                <w:sz w:val="22"/>
              </w:rPr>
              <w:t xml:space="preserve"> 2024 [29]</w:t>
            </w:r>
          </w:p>
        </w:tc>
      </w:tr>
      <w:tr w:rsidR="000B62AD" w:rsidRPr="007E6C36" w14:paraId="6FD027F5" w14:textId="77777777" w:rsidTr="00B015AF">
        <w:trPr>
          <w:jc w:val="center"/>
        </w:trPr>
        <w:tc>
          <w:tcPr>
            <w:tcW w:w="1701" w:type="dxa"/>
            <w:vAlign w:val="center"/>
          </w:tcPr>
          <w:p w14:paraId="16B94089" w14:textId="77777777" w:rsidR="000B62AD" w:rsidRPr="007E6C36" w:rsidRDefault="000B62AD" w:rsidP="00B015AF">
            <w:pPr>
              <w:spacing w:before="20" w:after="20"/>
              <w:rPr>
                <w:rFonts w:ascii="Gill Sans MT" w:hAnsi="Gill Sans MT"/>
                <w:sz w:val="22"/>
              </w:rPr>
            </w:pPr>
          </w:p>
        </w:tc>
        <w:tc>
          <w:tcPr>
            <w:tcW w:w="2268" w:type="dxa"/>
            <w:vAlign w:val="center"/>
          </w:tcPr>
          <w:p w14:paraId="5BED73E7" w14:textId="77777777" w:rsidR="000B62AD" w:rsidRPr="007E6C36" w:rsidRDefault="000B62AD" w:rsidP="00B015AF">
            <w:pPr>
              <w:spacing w:before="20" w:after="20"/>
              <w:rPr>
                <w:rFonts w:ascii="Gill Sans MT" w:hAnsi="Gill Sans MT"/>
                <w:bCs/>
                <w:sz w:val="22"/>
              </w:rPr>
            </w:pPr>
            <w:r w:rsidRPr="007E6C36">
              <w:rPr>
                <w:rFonts w:ascii="Gill Sans MT" w:eastAsia="Times New Roman" w:hAnsi="Gill Sans MT" w:cs="Times New Roman"/>
                <w:bCs/>
                <w:sz w:val="22"/>
              </w:rPr>
              <w:t>Excess alcohol use</w:t>
            </w:r>
          </w:p>
        </w:tc>
        <w:tc>
          <w:tcPr>
            <w:tcW w:w="2324" w:type="dxa"/>
            <w:vAlign w:val="center"/>
          </w:tcPr>
          <w:p w14:paraId="3F843E3C" w14:textId="77777777" w:rsidR="000B62AD" w:rsidRPr="007E6C36" w:rsidRDefault="000B62AD" w:rsidP="00B015AF">
            <w:pPr>
              <w:spacing w:before="20" w:after="20"/>
              <w:rPr>
                <w:rFonts w:ascii="Gill Sans MT" w:hAnsi="Gill Sans MT"/>
                <w:bCs/>
                <w:sz w:val="22"/>
              </w:rPr>
            </w:pPr>
            <w:r w:rsidRPr="007E6C36">
              <w:rPr>
                <w:rFonts w:ascii="Gill Sans MT" w:eastAsia="Times New Roman" w:hAnsi="Gill Sans MT" w:cs="Times New Roman"/>
                <w:bCs/>
                <w:sz w:val="22"/>
              </w:rPr>
              <w:t>Predictor identified</w:t>
            </w:r>
          </w:p>
        </w:tc>
        <w:tc>
          <w:tcPr>
            <w:tcW w:w="2268" w:type="dxa"/>
            <w:vAlign w:val="center"/>
          </w:tcPr>
          <w:p w14:paraId="4F544B0E" w14:textId="77777777" w:rsidR="000B62AD" w:rsidRPr="007E6C36" w:rsidRDefault="000B62AD" w:rsidP="00B015AF">
            <w:pPr>
              <w:spacing w:before="20" w:after="20"/>
              <w:rPr>
                <w:rFonts w:ascii="Gill Sans MT" w:hAnsi="Gill Sans MT"/>
                <w:bCs/>
                <w:sz w:val="22"/>
              </w:rPr>
            </w:pPr>
            <w:proofErr w:type="spellStart"/>
            <w:r w:rsidRPr="007E6C36">
              <w:rPr>
                <w:rFonts w:ascii="Gill Sans MT" w:eastAsia="Times New Roman" w:hAnsi="Gill Sans MT" w:cs="Times New Roman"/>
                <w:bCs/>
                <w:sz w:val="22"/>
              </w:rPr>
              <w:t>Gorvetzian</w:t>
            </w:r>
            <w:proofErr w:type="spellEnd"/>
            <w:r w:rsidRPr="007E6C36">
              <w:rPr>
                <w:rFonts w:ascii="Gill Sans MT" w:eastAsia="Times New Roman" w:hAnsi="Gill Sans MT" w:cs="Times New Roman"/>
                <w:bCs/>
                <w:sz w:val="22"/>
              </w:rPr>
              <w:t xml:space="preserve"> 2024 [21]</w:t>
            </w:r>
          </w:p>
        </w:tc>
      </w:tr>
      <w:tr w:rsidR="000B62AD" w:rsidRPr="007E6C36" w14:paraId="4805C710" w14:textId="77777777" w:rsidTr="00B015AF">
        <w:trPr>
          <w:jc w:val="center"/>
        </w:trPr>
        <w:tc>
          <w:tcPr>
            <w:tcW w:w="1701" w:type="dxa"/>
            <w:vAlign w:val="center"/>
          </w:tcPr>
          <w:p w14:paraId="1F99D3F9" w14:textId="77777777" w:rsidR="000B62AD" w:rsidRPr="007E6C36" w:rsidRDefault="000B62AD" w:rsidP="00B015AF">
            <w:pPr>
              <w:spacing w:before="20" w:after="20"/>
              <w:rPr>
                <w:rFonts w:ascii="Gill Sans MT" w:hAnsi="Gill Sans MT"/>
                <w:sz w:val="22"/>
              </w:rPr>
            </w:pPr>
            <w:r w:rsidRPr="007E6C36">
              <w:rPr>
                <w:rFonts w:ascii="Gill Sans MT" w:eastAsia="Times New Roman" w:hAnsi="Gill Sans MT" w:cs="Times New Roman"/>
                <w:sz w:val="22"/>
              </w:rPr>
              <w:t>Clinical Severity</w:t>
            </w:r>
          </w:p>
        </w:tc>
        <w:tc>
          <w:tcPr>
            <w:tcW w:w="2268" w:type="dxa"/>
            <w:vAlign w:val="center"/>
          </w:tcPr>
          <w:p w14:paraId="6B65B592" w14:textId="77777777" w:rsidR="000B62AD" w:rsidRPr="007E6C36" w:rsidRDefault="000B62AD" w:rsidP="00B015AF">
            <w:pPr>
              <w:spacing w:before="20" w:after="20"/>
              <w:rPr>
                <w:rFonts w:ascii="Gill Sans MT" w:hAnsi="Gill Sans MT"/>
                <w:sz w:val="22"/>
              </w:rPr>
            </w:pPr>
          </w:p>
        </w:tc>
        <w:tc>
          <w:tcPr>
            <w:tcW w:w="2324" w:type="dxa"/>
            <w:vAlign w:val="center"/>
          </w:tcPr>
          <w:p w14:paraId="37F39222" w14:textId="77777777" w:rsidR="000B62AD" w:rsidRPr="007E6C36" w:rsidRDefault="000B62AD" w:rsidP="00B015AF">
            <w:pPr>
              <w:spacing w:before="20" w:after="20"/>
              <w:rPr>
                <w:rFonts w:ascii="Gill Sans MT" w:hAnsi="Gill Sans MT"/>
                <w:sz w:val="22"/>
              </w:rPr>
            </w:pPr>
          </w:p>
        </w:tc>
        <w:tc>
          <w:tcPr>
            <w:tcW w:w="2268" w:type="dxa"/>
            <w:vAlign w:val="center"/>
          </w:tcPr>
          <w:p w14:paraId="1639F201" w14:textId="77777777" w:rsidR="000B62AD" w:rsidRPr="007E6C36" w:rsidRDefault="000B62AD" w:rsidP="00B015AF">
            <w:pPr>
              <w:spacing w:before="20" w:after="20"/>
              <w:rPr>
                <w:rFonts w:ascii="Gill Sans MT" w:hAnsi="Gill Sans MT"/>
                <w:sz w:val="22"/>
              </w:rPr>
            </w:pPr>
          </w:p>
        </w:tc>
      </w:tr>
      <w:tr w:rsidR="000B62AD" w:rsidRPr="007E6C36" w14:paraId="22D643E6" w14:textId="77777777" w:rsidTr="00B015AF">
        <w:trPr>
          <w:jc w:val="center"/>
        </w:trPr>
        <w:tc>
          <w:tcPr>
            <w:tcW w:w="1701" w:type="dxa"/>
            <w:vAlign w:val="center"/>
          </w:tcPr>
          <w:p w14:paraId="20B27B38" w14:textId="77777777" w:rsidR="000B62AD" w:rsidRPr="007E6C36" w:rsidRDefault="000B62AD" w:rsidP="00B015AF">
            <w:pPr>
              <w:spacing w:before="20" w:after="20"/>
              <w:rPr>
                <w:rFonts w:ascii="Gill Sans MT" w:hAnsi="Gill Sans MT"/>
                <w:sz w:val="22"/>
              </w:rPr>
            </w:pPr>
          </w:p>
        </w:tc>
        <w:tc>
          <w:tcPr>
            <w:tcW w:w="2268" w:type="dxa"/>
            <w:vAlign w:val="center"/>
          </w:tcPr>
          <w:p w14:paraId="7A2DD4FA" w14:textId="77777777" w:rsidR="000B62AD" w:rsidRPr="007E6C36" w:rsidRDefault="000B62AD" w:rsidP="00B015AF">
            <w:pPr>
              <w:spacing w:before="20" w:after="20"/>
              <w:rPr>
                <w:rFonts w:ascii="Gill Sans MT" w:hAnsi="Gill Sans MT"/>
                <w:sz w:val="22"/>
              </w:rPr>
            </w:pPr>
            <w:r w:rsidRPr="007E6C36">
              <w:rPr>
                <w:rFonts w:ascii="Gill Sans MT" w:eastAsia="Times New Roman" w:hAnsi="Gill Sans MT" w:cs="Times New Roman"/>
                <w:sz w:val="22"/>
              </w:rPr>
              <w:t>Hospitalization at initiation</w:t>
            </w:r>
          </w:p>
        </w:tc>
        <w:tc>
          <w:tcPr>
            <w:tcW w:w="2324" w:type="dxa"/>
            <w:vAlign w:val="center"/>
          </w:tcPr>
          <w:p w14:paraId="4B507F85" w14:textId="77777777" w:rsidR="000B62AD" w:rsidRPr="007E6C36" w:rsidRDefault="000B62AD" w:rsidP="00B015AF">
            <w:pPr>
              <w:spacing w:before="20" w:after="20"/>
              <w:rPr>
                <w:rFonts w:ascii="Gill Sans MT" w:hAnsi="Gill Sans MT"/>
                <w:sz w:val="22"/>
              </w:rPr>
            </w:pPr>
            <w:proofErr w:type="spellStart"/>
            <w:r w:rsidRPr="007E6C36">
              <w:rPr>
                <w:rFonts w:ascii="Gill Sans MT" w:eastAsia="Times New Roman" w:hAnsi="Gill Sans MT" w:cs="Times New Roman"/>
                <w:sz w:val="22"/>
              </w:rPr>
              <w:t>aHR</w:t>
            </w:r>
            <w:proofErr w:type="spellEnd"/>
            <w:r w:rsidRPr="007E6C36">
              <w:rPr>
                <w:rFonts w:ascii="Gill Sans MT" w:eastAsia="Times New Roman" w:hAnsi="Gill Sans MT" w:cs="Times New Roman"/>
                <w:sz w:val="22"/>
              </w:rPr>
              <w:t xml:space="preserve"> 4.3 (1.1–16.6)</w:t>
            </w:r>
          </w:p>
        </w:tc>
        <w:tc>
          <w:tcPr>
            <w:tcW w:w="2268" w:type="dxa"/>
            <w:vAlign w:val="center"/>
          </w:tcPr>
          <w:p w14:paraId="6A38DF2A" w14:textId="77777777" w:rsidR="000B62AD" w:rsidRPr="007E6C36" w:rsidRDefault="000B62AD" w:rsidP="00B015AF">
            <w:pPr>
              <w:spacing w:before="20" w:after="20"/>
              <w:rPr>
                <w:rFonts w:ascii="Gill Sans MT" w:hAnsi="Gill Sans MT"/>
                <w:sz w:val="22"/>
              </w:rPr>
            </w:pPr>
            <w:proofErr w:type="spellStart"/>
            <w:r w:rsidRPr="007E6C36">
              <w:rPr>
                <w:rFonts w:ascii="Gill Sans MT" w:eastAsia="Times New Roman" w:hAnsi="Gill Sans MT" w:cs="Times New Roman"/>
                <w:sz w:val="22"/>
              </w:rPr>
              <w:t>Baluku</w:t>
            </w:r>
            <w:proofErr w:type="spellEnd"/>
            <w:r w:rsidRPr="007E6C36">
              <w:rPr>
                <w:rFonts w:ascii="Gill Sans MT" w:eastAsia="Times New Roman" w:hAnsi="Gill Sans MT" w:cs="Times New Roman"/>
                <w:sz w:val="22"/>
              </w:rPr>
              <w:t xml:space="preserve"> 2024 [1]</w:t>
            </w:r>
          </w:p>
        </w:tc>
      </w:tr>
    </w:tbl>
    <w:p w14:paraId="10F788C7" w14:textId="77777777" w:rsidR="000B62AD" w:rsidRPr="007E6C36" w:rsidRDefault="000B62AD" w:rsidP="000B62AD">
      <w:pPr>
        <w:jc w:val="both"/>
        <w:rPr>
          <w:rFonts w:ascii="Gill Sans MT" w:hAnsi="Gill Sans MT"/>
          <w:sz w:val="22"/>
        </w:rPr>
      </w:pPr>
      <w:proofErr w:type="spellStart"/>
      <w:r w:rsidRPr="007E6C36">
        <w:rPr>
          <w:rFonts w:ascii="Gill Sans MT" w:eastAsia="Times New Roman" w:hAnsi="Gill Sans MT" w:cs="Times New Roman"/>
          <w:i/>
          <w:sz w:val="22"/>
        </w:rPr>
        <w:t>aHR</w:t>
      </w:r>
      <w:proofErr w:type="spellEnd"/>
      <w:r w:rsidRPr="007E6C36">
        <w:rPr>
          <w:rFonts w:ascii="Gill Sans MT" w:eastAsia="Times New Roman" w:hAnsi="Gill Sans MT" w:cs="Times New Roman"/>
          <w:i/>
          <w:sz w:val="22"/>
        </w:rPr>
        <w:t xml:space="preserve"> = adjusted hazard ratio; </w:t>
      </w:r>
      <w:proofErr w:type="spellStart"/>
      <w:r w:rsidRPr="007E6C36">
        <w:rPr>
          <w:rFonts w:ascii="Gill Sans MT" w:eastAsia="Times New Roman" w:hAnsi="Gill Sans MT" w:cs="Times New Roman"/>
          <w:i/>
          <w:sz w:val="22"/>
        </w:rPr>
        <w:t>aOR</w:t>
      </w:r>
      <w:proofErr w:type="spellEnd"/>
      <w:r w:rsidRPr="007E6C36">
        <w:rPr>
          <w:rFonts w:ascii="Gill Sans MT" w:eastAsia="Times New Roman" w:hAnsi="Gill Sans MT" w:cs="Times New Roman"/>
          <w:i/>
          <w:sz w:val="22"/>
        </w:rPr>
        <w:t xml:space="preserve"> = adjusted odds ratio; HR = hazard ratio; EOT = end of treatment; ESRD = end-stage renal disease</w:t>
      </w:r>
    </w:p>
    <w:p w14:paraId="0346F2F1" w14:textId="77777777" w:rsidR="000B62AD" w:rsidRPr="007E6C36" w:rsidRDefault="000B62AD" w:rsidP="000B62AD">
      <w:pPr>
        <w:pStyle w:val="Heading3"/>
        <w:spacing w:before="160" w:after="40"/>
        <w:rPr>
          <w:rFonts w:ascii="Gill Sans MT" w:hAnsi="Gill Sans MT"/>
          <w:color w:val="auto"/>
          <w:sz w:val="22"/>
        </w:rPr>
      </w:pPr>
      <w:r w:rsidRPr="007E6C36">
        <w:rPr>
          <w:rFonts w:ascii="Gill Sans MT" w:eastAsia="Times New Roman" w:hAnsi="Gill Sans MT" w:cs="Times New Roman"/>
          <w:color w:val="auto"/>
          <w:sz w:val="22"/>
        </w:rPr>
        <w:t>3.6 Quality Assessment and Risk of Bias</w:t>
      </w:r>
    </w:p>
    <w:p w14:paraId="53E2C750" w14:textId="77777777" w:rsidR="000B62AD" w:rsidRPr="007E6C36" w:rsidRDefault="000B62AD" w:rsidP="000B62AD">
      <w:pPr>
        <w:jc w:val="both"/>
        <w:rPr>
          <w:rFonts w:ascii="Gill Sans MT" w:hAnsi="Gill Sans MT"/>
          <w:sz w:val="22"/>
        </w:rPr>
      </w:pPr>
      <w:r w:rsidRPr="007E6C36">
        <w:rPr>
          <w:rFonts w:ascii="Gill Sans MT" w:eastAsia="Times New Roman" w:hAnsi="Gill Sans MT" w:cs="Times New Roman"/>
          <w:sz w:val="22"/>
        </w:rPr>
        <w:t xml:space="preserve">Most included studies were retrospective cohorts relying on registry linkage or chart review, with inherent limitations including potential selection bias, loss to follow-up, and residual confounding. Few studies reported formal risk-of-bias assessments using standardized tools. Prospective cohorts </w:t>
      </w:r>
      <w:r w:rsidRPr="007E6C36">
        <w:rPr>
          <w:rFonts w:ascii="Gill Sans MT" w:eastAsia="Times New Roman" w:hAnsi="Gill Sans MT" w:cs="Times New Roman"/>
          <w:sz w:val="22"/>
          <w:vertAlign w:val="superscript"/>
        </w:rPr>
        <w:t>[6]</w:t>
      </w:r>
      <w:r w:rsidRPr="007E6C36">
        <w:rPr>
          <w:rFonts w:ascii="Gill Sans MT" w:eastAsia="Times New Roman" w:hAnsi="Gill Sans MT" w:cs="Times New Roman"/>
          <w:sz w:val="22"/>
        </w:rPr>
        <w:t xml:space="preserve">, </w:t>
      </w:r>
      <w:r w:rsidRPr="007E6C36">
        <w:rPr>
          <w:rFonts w:ascii="Gill Sans MT" w:eastAsia="Times New Roman" w:hAnsi="Gill Sans MT" w:cs="Times New Roman"/>
          <w:sz w:val="22"/>
          <w:vertAlign w:val="superscript"/>
        </w:rPr>
        <w:t>[16]</w:t>
      </w:r>
      <w:r w:rsidRPr="007E6C36">
        <w:rPr>
          <w:rFonts w:ascii="Gill Sans MT" w:eastAsia="Times New Roman" w:hAnsi="Gill Sans MT" w:cs="Times New Roman"/>
          <w:sz w:val="22"/>
        </w:rPr>
        <w:t xml:space="preserve">, </w:t>
      </w:r>
      <w:r w:rsidRPr="007E6C36">
        <w:rPr>
          <w:rFonts w:ascii="Gill Sans MT" w:eastAsia="Times New Roman" w:hAnsi="Gill Sans MT" w:cs="Times New Roman"/>
          <w:sz w:val="22"/>
          <w:vertAlign w:val="superscript"/>
        </w:rPr>
        <w:t>[18]</w:t>
      </w:r>
      <w:r w:rsidRPr="007E6C36">
        <w:rPr>
          <w:rFonts w:ascii="Gill Sans MT" w:eastAsia="Times New Roman" w:hAnsi="Gill Sans MT" w:cs="Times New Roman"/>
          <w:sz w:val="22"/>
        </w:rPr>
        <w:t xml:space="preserve">, </w:t>
      </w:r>
      <w:r w:rsidRPr="007E6C36">
        <w:rPr>
          <w:rFonts w:ascii="Gill Sans MT" w:eastAsia="Times New Roman" w:hAnsi="Gill Sans MT" w:cs="Times New Roman"/>
          <w:sz w:val="22"/>
          <w:vertAlign w:val="superscript"/>
        </w:rPr>
        <w:t>[19]</w:t>
      </w:r>
      <w:r w:rsidRPr="007E6C36">
        <w:rPr>
          <w:rFonts w:ascii="Gill Sans MT" w:eastAsia="Times New Roman" w:hAnsi="Gill Sans MT" w:cs="Times New Roman"/>
          <w:sz w:val="22"/>
        </w:rPr>
        <w:t xml:space="preserve">, </w:t>
      </w:r>
      <w:r w:rsidRPr="007E6C36">
        <w:rPr>
          <w:rFonts w:ascii="Gill Sans MT" w:eastAsia="Times New Roman" w:hAnsi="Gill Sans MT" w:cs="Times New Roman"/>
          <w:sz w:val="22"/>
          <w:vertAlign w:val="superscript"/>
        </w:rPr>
        <w:t>[25]</w:t>
      </w:r>
      <w:r w:rsidRPr="007E6C36">
        <w:rPr>
          <w:rFonts w:ascii="Gill Sans MT" w:eastAsia="Times New Roman" w:hAnsi="Gill Sans MT" w:cs="Times New Roman"/>
          <w:sz w:val="22"/>
        </w:rPr>
        <w:t xml:space="preserve"> generally had more robust follow-up and confounder adjustment.</w:t>
      </w:r>
    </w:p>
    <w:p w14:paraId="3E053802" w14:textId="77777777" w:rsidR="000B62AD" w:rsidRPr="007E6C36" w:rsidRDefault="000B62AD" w:rsidP="000B62AD">
      <w:pPr>
        <w:jc w:val="both"/>
        <w:rPr>
          <w:rFonts w:ascii="Gill Sans MT" w:hAnsi="Gill Sans MT"/>
          <w:sz w:val="22"/>
        </w:rPr>
      </w:pPr>
      <w:r w:rsidRPr="007E6C36">
        <w:rPr>
          <w:rFonts w:ascii="Gill Sans MT" w:eastAsia="Times New Roman" w:hAnsi="Gill Sans MT" w:cs="Times New Roman"/>
          <w:sz w:val="22"/>
        </w:rPr>
        <w:t>Common methodological limitations included: (1) retrospective designs with potential for misclassification of exposures and outcomes; (2) incomplete reporting of follow-up duration and loss to follow-up; (3) limited cause-specific mortality ascertainment; (4) heterogeneous definitions of treatment completion; (5) variable adjustment for confounders; and (6) potential healthy survivor bias, as studies typically included only those who survived to treatment completion.</w:t>
      </w:r>
    </w:p>
    <w:p w14:paraId="69427D71" w14:textId="77777777" w:rsidR="000B62AD" w:rsidRPr="00915354" w:rsidRDefault="000B62AD" w:rsidP="000B62AD">
      <w:pPr>
        <w:jc w:val="both"/>
        <w:rPr>
          <w:rFonts w:ascii="Gill Sans MT" w:hAnsi="Gill Sans MT"/>
          <w:sz w:val="22"/>
        </w:rPr>
      </w:pPr>
      <w:r w:rsidRPr="00915354">
        <w:rPr>
          <w:rFonts w:ascii="Gill Sans MT" w:eastAsia="Times New Roman" w:hAnsi="Gill Sans MT" w:cs="Times New Roman"/>
          <w:sz w:val="22"/>
        </w:rPr>
        <w:t>The systematic review by Romanowski et al. [30] enforced quality eligibility criteria (cohort design, ≥12 months follow-up) but documented high heterogeneity and variable risk of bias across included studies.</w:t>
      </w:r>
    </w:p>
    <w:p w14:paraId="36D3344A" w14:textId="77777777" w:rsidR="000B62AD" w:rsidRPr="007E6C36" w:rsidRDefault="000B62AD" w:rsidP="000B62AD">
      <w:pPr>
        <w:pStyle w:val="Heading3"/>
        <w:spacing w:before="160" w:after="40"/>
        <w:rPr>
          <w:rFonts w:ascii="Gill Sans MT" w:hAnsi="Gill Sans MT"/>
          <w:color w:val="auto"/>
          <w:sz w:val="22"/>
        </w:rPr>
      </w:pPr>
      <w:r w:rsidRPr="007E6C36">
        <w:rPr>
          <w:rFonts w:ascii="Gill Sans MT" w:eastAsia="Times New Roman" w:hAnsi="Gill Sans MT" w:cs="Times New Roman"/>
          <w:color w:val="auto"/>
          <w:sz w:val="22"/>
        </w:rPr>
        <w:t>3.7 Evidence Gaps</w:t>
      </w:r>
    </w:p>
    <w:p w14:paraId="5F89C55C" w14:textId="77777777" w:rsidR="000B62AD" w:rsidRPr="00915354" w:rsidRDefault="000B62AD" w:rsidP="00134130">
      <w:pPr>
        <w:spacing w:after="0"/>
        <w:jc w:val="both"/>
        <w:rPr>
          <w:rFonts w:ascii="Gill Sans MT" w:hAnsi="Gill Sans MT"/>
          <w:sz w:val="22"/>
        </w:rPr>
      </w:pPr>
      <w:r w:rsidRPr="00915354">
        <w:rPr>
          <w:rFonts w:ascii="Gill Sans MT" w:eastAsia="Times New Roman" w:hAnsi="Gill Sans MT" w:cs="Times New Roman"/>
          <w:sz w:val="22"/>
        </w:rPr>
        <w:t>Several critical evidence gaps emerged from this review:</w:t>
      </w:r>
    </w:p>
    <w:p w14:paraId="43654964" w14:textId="77777777" w:rsidR="000B62AD" w:rsidRPr="00915354" w:rsidRDefault="000B62AD" w:rsidP="00134130">
      <w:pPr>
        <w:spacing w:after="0"/>
        <w:jc w:val="both"/>
        <w:rPr>
          <w:rFonts w:ascii="Gill Sans MT" w:hAnsi="Gill Sans MT"/>
          <w:bCs/>
          <w:sz w:val="22"/>
        </w:rPr>
      </w:pPr>
      <w:r w:rsidRPr="00915354">
        <w:rPr>
          <w:rFonts w:ascii="Gill Sans MT" w:eastAsia="Times New Roman" w:hAnsi="Gill Sans MT" w:cs="Times New Roman"/>
          <w:bCs/>
          <w:sz w:val="22"/>
        </w:rPr>
        <w:t>1. Cause-specific mortality: Few studies provided detailed cause-specific mortality data, limiting understanding of the pathways linking TB to long-term death [21], [24].</w:t>
      </w:r>
    </w:p>
    <w:p w14:paraId="1FBD5B8B" w14:textId="77777777" w:rsidR="000B62AD" w:rsidRPr="00915354" w:rsidRDefault="000B62AD" w:rsidP="00134130">
      <w:pPr>
        <w:spacing w:after="0"/>
        <w:jc w:val="both"/>
        <w:rPr>
          <w:rFonts w:ascii="Gill Sans MT" w:hAnsi="Gill Sans MT"/>
          <w:bCs/>
          <w:sz w:val="22"/>
        </w:rPr>
      </w:pPr>
      <w:r w:rsidRPr="00915354">
        <w:rPr>
          <w:rFonts w:ascii="Gill Sans MT" w:eastAsia="Times New Roman" w:hAnsi="Gill Sans MT" w:cs="Times New Roman"/>
          <w:bCs/>
          <w:sz w:val="22"/>
        </w:rPr>
        <w:t xml:space="preserve">2. </w:t>
      </w:r>
      <w:r w:rsidR="007E6C36" w:rsidRPr="00915354">
        <w:rPr>
          <w:rFonts w:ascii="Gill Sans MT" w:eastAsia="Times New Roman" w:hAnsi="Gill Sans MT" w:cs="Times New Roman"/>
          <w:bCs/>
          <w:sz w:val="22"/>
        </w:rPr>
        <w:t>post-TB</w:t>
      </w:r>
      <w:r w:rsidRPr="00915354">
        <w:rPr>
          <w:rFonts w:ascii="Gill Sans MT" w:eastAsia="Times New Roman" w:hAnsi="Gill Sans MT" w:cs="Times New Roman"/>
          <w:bCs/>
          <w:sz w:val="22"/>
        </w:rPr>
        <w:t xml:space="preserve"> lung disease: Direct, standardized measures of chronic pulmonary sequelae and their relationship to mortality were rarely reported.</w:t>
      </w:r>
    </w:p>
    <w:p w14:paraId="3E6DB1A6" w14:textId="77777777" w:rsidR="000B62AD" w:rsidRPr="00915354" w:rsidRDefault="000B62AD" w:rsidP="00134130">
      <w:pPr>
        <w:spacing w:after="0"/>
        <w:jc w:val="both"/>
        <w:rPr>
          <w:rFonts w:ascii="Gill Sans MT" w:hAnsi="Gill Sans MT"/>
          <w:bCs/>
          <w:sz w:val="22"/>
        </w:rPr>
      </w:pPr>
      <w:r w:rsidRPr="00915354">
        <w:rPr>
          <w:rFonts w:ascii="Gill Sans MT" w:eastAsia="Times New Roman" w:hAnsi="Gill Sans MT" w:cs="Times New Roman"/>
          <w:bCs/>
          <w:sz w:val="22"/>
        </w:rPr>
        <w:lastRenderedPageBreak/>
        <w:t>3. Intervention studies: No randomized controlled trials or quasi-experimental studies evaluating post-TB follow-up interventions, integrated chronic disease management, or social protection programs were identified.</w:t>
      </w:r>
    </w:p>
    <w:p w14:paraId="1144F218" w14:textId="77777777" w:rsidR="000B62AD" w:rsidRPr="00915354" w:rsidRDefault="000B62AD" w:rsidP="00134130">
      <w:pPr>
        <w:spacing w:after="0"/>
        <w:jc w:val="both"/>
        <w:rPr>
          <w:rFonts w:ascii="Gill Sans MT" w:hAnsi="Gill Sans MT"/>
          <w:bCs/>
          <w:sz w:val="22"/>
        </w:rPr>
      </w:pPr>
      <w:r w:rsidRPr="00915354">
        <w:rPr>
          <w:rFonts w:ascii="Gill Sans MT" w:eastAsia="Times New Roman" w:hAnsi="Gill Sans MT" w:cs="Times New Roman"/>
          <w:bCs/>
          <w:sz w:val="22"/>
        </w:rPr>
        <w:t>4. Generalizability: Evidence is concentrated in specific high-risk populations (HIV, drug-resistant TB) and settings, with limited representation of general TB populations in high-burden, low-resource settings, particularly in sub-Saharan Africa.</w:t>
      </w:r>
    </w:p>
    <w:p w14:paraId="1D082C75" w14:textId="77777777" w:rsidR="000B62AD" w:rsidRPr="00915354" w:rsidRDefault="000B62AD" w:rsidP="00134130">
      <w:pPr>
        <w:spacing w:after="0"/>
        <w:jc w:val="both"/>
        <w:rPr>
          <w:rFonts w:ascii="Gill Sans MT" w:hAnsi="Gill Sans MT"/>
          <w:bCs/>
          <w:sz w:val="22"/>
        </w:rPr>
      </w:pPr>
      <w:r w:rsidRPr="00915354">
        <w:rPr>
          <w:rFonts w:ascii="Gill Sans MT" w:eastAsia="Times New Roman" w:hAnsi="Gill Sans MT" w:cs="Times New Roman"/>
          <w:bCs/>
          <w:sz w:val="22"/>
        </w:rPr>
        <w:t>5. Standardization: Heterogeneity in study designs, follow-up durations, outcome definitions, and confounder adjustment limits comparability and pooled estimation.</w:t>
      </w:r>
    </w:p>
    <w:p w14:paraId="5D9E3EA6" w14:textId="77777777" w:rsidR="00170BD9" w:rsidRPr="00915354" w:rsidRDefault="000B62AD" w:rsidP="00134130">
      <w:pPr>
        <w:spacing w:after="0"/>
        <w:jc w:val="both"/>
        <w:rPr>
          <w:rFonts w:ascii="Gill Sans MT" w:hAnsi="Gill Sans MT"/>
          <w:bCs/>
          <w:sz w:val="22"/>
        </w:rPr>
      </w:pPr>
      <w:r w:rsidRPr="00915354">
        <w:rPr>
          <w:rFonts w:ascii="Gill Sans MT" w:eastAsia="Times New Roman" w:hAnsi="Gill Sans MT" w:cs="Times New Roman"/>
          <w:bCs/>
          <w:sz w:val="22"/>
        </w:rPr>
        <w:t>6. Mechanistic pathways: Few studies examined mediating pathways (e.g., lung function, inflammation, socioeconomic consequences) linking TB to long-term mortality.</w:t>
      </w:r>
    </w:p>
    <w:p w14:paraId="1AD63E59" w14:textId="77777777" w:rsidR="00170BD9" w:rsidRPr="00915354" w:rsidRDefault="00000000">
      <w:pPr>
        <w:pStyle w:val="SectionHeadingAIDSAE"/>
        <w:rPr>
          <w:rFonts w:ascii="Gill Sans MT" w:hAnsi="Gill Sans MT"/>
          <w:sz w:val="24"/>
          <w:szCs w:val="24"/>
        </w:rPr>
      </w:pPr>
      <w:r w:rsidRPr="00915354">
        <w:rPr>
          <w:rFonts w:ascii="Gill Sans MT" w:hAnsi="Gill Sans MT"/>
          <w:sz w:val="24"/>
          <w:szCs w:val="24"/>
        </w:rPr>
        <w:t>4. Discussion</w:t>
      </w:r>
    </w:p>
    <w:p w14:paraId="2822A038" w14:textId="77777777" w:rsidR="007E6C36" w:rsidRPr="002D088E" w:rsidRDefault="007E6C36" w:rsidP="002D088E">
      <w:pPr>
        <w:pStyle w:val="Heading3"/>
        <w:spacing w:before="160" w:after="40"/>
        <w:jc w:val="both"/>
        <w:rPr>
          <w:rFonts w:ascii="Gill Sans MT" w:hAnsi="Gill Sans MT"/>
          <w:color w:val="auto"/>
          <w:sz w:val="22"/>
        </w:rPr>
      </w:pPr>
      <w:r w:rsidRPr="002D088E">
        <w:rPr>
          <w:rFonts w:ascii="Gill Sans MT" w:eastAsia="Times New Roman" w:hAnsi="Gill Sans MT" w:cs="Times New Roman"/>
          <w:color w:val="auto"/>
          <w:sz w:val="22"/>
        </w:rPr>
        <w:t>4.1 Principal Findings</w:t>
      </w:r>
    </w:p>
    <w:p w14:paraId="53694D8C" w14:textId="77777777" w:rsidR="007E6C36" w:rsidRPr="002D088E" w:rsidRDefault="007E6C36" w:rsidP="002D088E">
      <w:pPr>
        <w:jc w:val="both"/>
        <w:rPr>
          <w:rFonts w:ascii="Gill Sans MT" w:hAnsi="Gill Sans MT"/>
          <w:sz w:val="22"/>
        </w:rPr>
      </w:pPr>
      <w:r w:rsidRPr="002D088E">
        <w:rPr>
          <w:rFonts w:ascii="Gill Sans MT" w:eastAsia="Times New Roman" w:hAnsi="Gill Sans MT" w:cs="Times New Roman"/>
          <w:sz w:val="22"/>
        </w:rPr>
        <w:t>This systematic review synthesized evidence from 30 studies representing diverse geographic settings and populations, documenting substantially elevated long-term mortality among TB survivors. The pooled SMR of 2.91 indicates that TB survivors experience nearly three-fold higher all-cause mortality compared to general populations, with mortality concentrated in the first 1–3 years post-treatment but persisting for many years. Consistent predictors included HIV co-infection and low CD4 count, prior TB or retreatment, older age, comorbidities (diabetes, chronic kidney disease, malignancy), drug-resistant TB, and socioeconomic vulnerability, particularly unemployment. High heterogeneity (I²=99%) reflected diverse study designs, populations, and follow-up durations. Major evidence gaps included limited cause-specific mortality data, scarce intervention studies, and underrepresentation of general TB populations in high-burden settings.</w:t>
      </w:r>
    </w:p>
    <w:p w14:paraId="09D0DF76" w14:textId="77777777" w:rsidR="007E6C36" w:rsidRPr="002D088E" w:rsidRDefault="007E6C36" w:rsidP="002D088E">
      <w:pPr>
        <w:pStyle w:val="Heading3"/>
        <w:spacing w:before="160" w:after="40"/>
        <w:jc w:val="both"/>
        <w:rPr>
          <w:rFonts w:ascii="Gill Sans MT" w:hAnsi="Gill Sans MT"/>
          <w:color w:val="auto"/>
          <w:sz w:val="22"/>
        </w:rPr>
      </w:pPr>
      <w:r w:rsidRPr="002D088E">
        <w:rPr>
          <w:rFonts w:ascii="Gill Sans MT" w:eastAsia="Times New Roman" w:hAnsi="Gill Sans MT" w:cs="Times New Roman"/>
          <w:color w:val="auto"/>
          <w:sz w:val="22"/>
        </w:rPr>
        <w:t>4.2 Interpretation and Mechanisms</w:t>
      </w:r>
    </w:p>
    <w:p w14:paraId="2D195F0D" w14:textId="77777777" w:rsidR="007E6C36" w:rsidRPr="002D088E" w:rsidRDefault="007E6C36" w:rsidP="002D088E">
      <w:pPr>
        <w:jc w:val="both"/>
        <w:rPr>
          <w:rFonts w:ascii="Gill Sans MT" w:hAnsi="Gill Sans MT"/>
          <w:sz w:val="22"/>
        </w:rPr>
      </w:pPr>
      <w:r w:rsidRPr="002D088E">
        <w:rPr>
          <w:rFonts w:ascii="Gill Sans MT" w:eastAsia="Times New Roman" w:hAnsi="Gill Sans MT" w:cs="Times New Roman"/>
          <w:sz w:val="22"/>
        </w:rPr>
        <w:t>The elevated post-treatment mortality documented in this review likely reflects multiple interacting mechanisms. First, structural lung damage—including bronchiectasis, fibrosis, cavitation, and chronic pulmonary aspergillosis—may persist after microbiological cure and contribute to respiratory morbidity, recurrent infections, and respiratory failure [5], [6], [17]. Second, systemic inflammation and immune dysregulation associated with TB disease may have long-lasting effects on cardiovascular, metabolic, and immune function [22]. Third, the socioeconomic consequences of TB—including catastrophic costs, job loss, reduced income, and social stigma—may compound mortality risk through reduced access to care, malnutrition, and stress [1], [7], [8].</w:t>
      </w:r>
    </w:p>
    <w:p w14:paraId="41603D81" w14:textId="77777777" w:rsidR="007E6C36" w:rsidRPr="002D088E" w:rsidRDefault="007E6C36" w:rsidP="002D088E">
      <w:pPr>
        <w:jc w:val="both"/>
        <w:rPr>
          <w:rFonts w:ascii="Gill Sans MT" w:hAnsi="Gill Sans MT"/>
          <w:sz w:val="22"/>
        </w:rPr>
      </w:pPr>
      <w:r w:rsidRPr="002D088E">
        <w:rPr>
          <w:rFonts w:ascii="Gill Sans MT" w:eastAsia="Times New Roman" w:hAnsi="Gill Sans MT" w:cs="Times New Roman"/>
          <w:sz w:val="22"/>
        </w:rPr>
        <w:t>The concentration of deaths in the first 1–3 years post-treatment [2], [14], [29] suggests a critical window for intervention. This early post-treatment period may be characterized by incomplete immune reconstitution, ongoing lung repair, and socioeconomic recovery, rendering survivors particularly vulnerable. The persistence of elevated mortality beyond 5 years [6], [24], [25] indicates that TB may have irreversible long-term consequences for some survivors, necessitating sustained follow-up and chronic disease management.</w:t>
      </w:r>
    </w:p>
    <w:p w14:paraId="24245827" w14:textId="77777777" w:rsidR="007E6C36" w:rsidRPr="002D088E" w:rsidRDefault="007E6C36" w:rsidP="002D088E">
      <w:pPr>
        <w:jc w:val="both"/>
        <w:rPr>
          <w:rFonts w:ascii="Gill Sans MT" w:hAnsi="Gill Sans MT"/>
          <w:sz w:val="22"/>
        </w:rPr>
      </w:pPr>
      <w:r w:rsidRPr="002D088E">
        <w:rPr>
          <w:rFonts w:ascii="Gill Sans MT" w:eastAsia="Times New Roman" w:hAnsi="Gill Sans MT" w:cs="Times New Roman"/>
          <w:sz w:val="22"/>
        </w:rPr>
        <w:t>The strong association between HIV co-infection, low CD4 count, and post-treatment mortality [2], [4], [14], [25] underscores the importance of integrated TB-HIV care extending beyond TB treatment completion. Despite ART, HIV-positive TB survivors remain at elevated risk, possibly reflecting incomplete immune reconstitution, higher comorbidity burden, and greater socioeconomic vulnerability. The finding that prior TB or retreatment predicts mortality [2], [6] suggests that recurrent TB may reflect underlying immune, nutritional, or socioeconomic vulnerabilities that persist after treatment.</w:t>
      </w:r>
    </w:p>
    <w:p w14:paraId="2156A54A" w14:textId="77777777" w:rsidR="007E6C36" w:rsidRPr="002D088E" w:rsidRDefault="007E6C36" w:rsidP="002D088E">
      <w:pPr>
        <w:jc w:val="both"/>
        <w:rPr>
          <w:rFonts w:ascii="Gill Sans MT" w:hAnsi="Gill Sans MT"/>
          <w:sz w:val="22"/>
        </w:rPr>
      </w:pPr>
      <w:r w:rsidRPr="002D088E">
        <w:rPr>
          <w:rFonts w:ascii="Gill Sans MT" w:eastAsia="Times New Roman" w:hAnsi="Gill Sans MT" w:cs="Times New Roman"/>
          <w:sz w:val="22"/>
        </w:rPr>
        <w:t>The association between unemployment and mortality (</w:t>
      </w:r>
      <w:proofErr w:type="spellStart"/>
      <w:r w:rsidRPr="002D088E">
        <w:rPr>
          <w:rFonts w:ascii="Gill Sans MT" w:eastAsia="Times New Roman" w:hAnsi="Gill Sans MT" w:cs="Times New Roman"/>
          <w:sz w:val="22"/>
        </w:rPr>
        <w:t>aHR</w:t>
      </w:r>
      <w:proofErr w:type="spellEnd"/>
      <w:r w:rsidRPr="002D088E">
        <w:rPr>
          <w:rFonts w:ascii="Gill Sans MT" w:eastAsia="Times New Roman" w:hAnsi="Gill Sans MT" w:cs="Times New Roman"/>
          <w:sz w:val="22"/>
        </w:rPr>
        <w:t xml:space="preserve"> 7.04) [1] is striking and highlights the critical role of socioeconomic factors in post-TB outcomes. Unemployment may reflect both pre-existing </w:t>
      </w:r>
      <w:r w:rsidRPr="002D088E">
        <w:rPr>
          <w:rFonts w:ascii="Gill Sans MT" w:eastAsia="Times New Roman" w:hAnsi="Gill Sans MT" w:cs="Times New Roman"/>
          <w:sz w:val="22"/>
        </w:rPr>
        <w:lastRenderedPageBreak/>
        <w:t>vulnerability and the catastrophic economic consequences of TB disease, including job loss, reduced income, and impoverishment. This finding supports the need for social protection interventions, including cash transfers, employment support, and food assistance, as part of comprehensive TB care.</w:t>
      </w:r>
    </w:p>
    <w:p w14:paraId="140FC88D" w14:textId="77777777" w:rsidR="007E6C36" w:rsidRPr="002D088E" w:rsidRDefault="007E6C36" w:rsidP="002D088E">
      <w:pPr>
        <w:jc w:val="both"/>
        <w:rPr>
          <w:rFonts w:ascii="Gill Sans MT" w:hAnsi="Gill Sans MT"/>
          <w:sz w:val="22"/>
        </w:rPr>
      </w:pPr>
      <w:r w:rsidRPr="002D088E">
        <w:rPr>
          <w:rFonts w:ascii="Gill Sans MT" w:eastAsia="Times New Roman" w:hAnsi="Gill Sans MT" w:cs="Times New Roman"/>
          <w:sz w:val="22"/>
        </w:rPr>
        <w:t>The elevated mortality associated with comorbidities—particularly diabetes, chronic kidney disease, and malignancy [6], [10], [21], [29]—reflects the growing burden of non-communicable diseases (NCDs) in TB-endemic settings and the need for integrated TB-NCD care. Diabetes may impair immune function, increase TB severity, and complicate treatment, while TB may worsen glycemic control and accelerate diabetic complications. Chronic kidney disease and malignancy may reflect shared risk factors (e.g., smoking, malnutrition) or direct effects of TB disease and treatment.</w:t>
      </w:r>
    </w:p>
    <w:p w14:paraId="3C8D7355" w14:textId="77777777" w:rsidR="007E6C36" w:rsidRPr="002D088E" w:rsidRDefault="007E6C36" w:rsidP="002D088E">
      <w:pPr>
        <w:pStyle w:val="Heading3"/>
        <w:spacing w:before="160" w:after="40"/>
        <w:jc w:val="both"/>
        <w:rPr>
          <w:rFonts w:ascii="Gill Sans MT" w:hAnsi="Gill Sans MT"/>
          <w:color w:val="auto"/>
          <w:sz w:val="22"/>
        </w:rPr>
      </w:pPr>
      <w:r w:rsidRPr="002D088E">
        <w:rPr>
          <w:rFonts w:ascii="Gill Sans MT" w:eastAsia="Times New Roman" w:hAnsi="Gill Sans MT" w:cs="Times New Roman"/>
          <w:color w:val="auto"/>
          <w:sz w:val="22"/>
        </w:rPr>
        <w:t xml:space="preserve">4.3 Comparison </w:t>
      </w:r>
      <w:r w:rsidR="00DF355B" w:rsidRPr="002D088E">
        <w:rPr>
          <w:rFonts w:ascii="Gill Sans MT" w:eastAsia="Times New Roman" w:hAnsi="Gill Sans MT" w:cs="Times New Roman"/>
          <w:color w:val="auto"/>
          <w:sz w:val="22"/>
        </w:rPr>
        <w:t>with</w:t>
      </w:r>
      <w:r w:rsidRPr="002D088E">
        <w:rPr>
          <w:rFonts w:ascii="Gill Sans MT" w:eastAsia="Times New Roman" w:hAnsi="Gill Sans MT" w:cs="Times New Roman"/>
          <w:color w:val="auto"/>
          <w:sz w:val="22"/>
        </w:rPr>
        <w:t xml:space="preserve"> Existing Literature</w:t>
      </w:r>
    </w:p>
    <w:p w14:paraId="198E60DE" w14:textId="77777777" w:rsidR="007E6C36" w:rsidRPr="002D088E" w:rsidRDefault="007E6C36" w:rsidP="002D088E">
      <w:pPr>
        <w:jc w:val="both"/>
        <w:rPr>
          <w:rFonts w:ascii="Gill Sans MT" w:hAnsi="Gill Sans MT"/>
          <w:sz w:val="22"/>
        </w:rPr>
      </w:pPr>
      <w:r w:rsidRPr="002D088E">
        <w:rPr>
          <w:rFonts w:ascii="Gill Sans MT" w:eastAsia="Times New Roman" w:hAnsi="Gill Sans MT" w:cs="Times New Roman"/>
          <w:sz w:val="22"/>
        </w:rPr>
        <w:t>Our findings are consistent with the systematic review by Romanowski et al. [30], which reported a pooled SMR of 2.91 and documented high heterogeneity across studies. Our review extends this work by synthesizing evidence on timing of deaths and predictors, highlighting the concentration of mortality in the first 1–3 years and the critical role of HIV, socioeconomic factors, and comorbidities.</w:t>
      </w:r>
    </w:p>
    <w:p w14:paraId="0626E816" w14:textId="77777777" w:rsidR="007E6C36" w:rsidRPr="002D088E" w:rsidRDefault="007E6C36" w:rsidP="002D088E">
      <w:pPr>
        <w:jc w:val="both"/>
        <w:rPr>
          <w:rFonts w:ascii="Gill Sans MT" w:hAnsi="Gill Sans MT"/>
          <w:sz w:val="22"/>
        </w:rPr>
      </w:pPr>
      <w:r w:rsidRPr="002D088E">
        <w:rPr>
          <w:rFonts w:ascii="Gill Sans MT" w:eastAsia="Times New Roman" w:hAnsi="Gill Sans MT" w:cs="Times New Roman"/>
          <w:sz w:val="22"/>
        </w:rPr>
        <w:t>The elevated mortality documented in this review contrasts with the high TB treatment success rates (&gt;85% globally) typically reported in national TB programs, underscoring the limitations of treatment success as an endpoint. Treatment success, defined as cure or treatment completion, does not capture long-term survival or quality of life, and may mask substantial post-treatment morbidity and mortality. This disconnect highlights the need for expanded outcome measures in TB programs, including long-term survival, post-TB lung disease, and patient-reported outcomes.</w:t>
      </w:r>
    </w:p>
    <w:p w14:paraId="1DA259C1" w14:textId="77777777" w:rsidR="007E6C36" w:rsidRPr="002D088E" w:rsidRDefault="007E6C36" w:rsidP="002D088E">
      <w:pPr>
        <w:pStyle w:val="Heading3"/>
        <w:spacing w:before="160" w:after="40"/>
        <w:jc w:val="both"/>
        <w:rPr>
          <w:rFonts w:ascii="Gill Sans MT" w:hAnsi="Gill Sans MT"/>
          <w:color w:val="auto"/>
          <w:sz w:val="22"/>
        </w:rPr>
      </w:pPr>
      <w:r w:rsidRPr="002D088E">
        <w:rPr>
          <w:rFonts w:ascii="Gill Sans MT" w:eastAsia="Times New Roman" w:hAnsi="Gill Sans MT" w:cs="Times New Roman"/>
          <w:color w:val="auto"/>
          <w:sz w:val="22"/>
        </w:rPr>
        <w:t>4.4 Implications for Policy and Practice</w:t>
      </w:r>
    </w:p>
    <w:p w14:paraId="7859F8B5" w14:textId="77777777" w:rsidR="007E6C36" w:rsidRPr="002D088E" w:rsidRDefault="007E6C36" w:rsidP="002D088E">
      <w:pPr>
        <w:jc w:val="both"/>
        <w:rPr>
          <w:rFonts w:ascii="Gill Sans MT" w:hAnsi="Gill Sans MT"/>
          <w:sz w:val="22"/>
        </w:rPr>
      </w:pPr>
      <w:r w:rsidRPr="002D088E">
        <w:rPr>
          <w:rFonts w:ascii="Gill Sans MT" w:eastAsia="Times New Roman" w:hAnsi="Gill Sans MT" w:cs="Times New Roman"/>
          <w:sz w:val="22"/>
        </w:rPr>
        <w:t>The findings of this review have several important implications for TB policy and practice:</w:t>
      </w:r>
    </w:p>
    <w:p w14:paraId="2EA72F6A" w14:textId="77777777" w:rsidR="007E6C36" w:rsidRPr="002D088E" w:rsidRDefault="007E6C36" w:rsidP="002D088E">
      <w:pPr>
        <w:spacing w:before="200" w:after="80"/>
        <w:jc w:val="both"/>
        <w:rPr>
          <w:rFonts w:ascii="Gill Sans MT" w:hAnsi="Gill Sans MT"/>
          <w:bCs/>
          <w:sz w:val="22"/>
        </w:rPr>
      </w:pPr>
      <w:r w:rsidRPr="002D088E">
        <w:rPr>
          <w:rFonts w:ascii="Gill Sans MT" w:eastAsia="Times New Roman" w:hAnsi="Gill Sans MT" w:cs="Times New Roman"/>
          <w:bCs/>
          <w:sz w:val="22"/>
        </w:rPr>
        <w:t>1. Structured post-TB follow-up: The concentration of deaths in the first 1–3 years post-treatment supports the need for structured follow-up during this critical period, including clinical assessment, screening for comorbidities and recurrent TB, and linkage to chronic disease care [17].</w:t>
      </w:r>
    </w:p>
    <w:p w14:paraId="5ED2D27E" w14:textId="77777777" w:rsidR="007E6C36" w:rsidRPr="002D088E" w:rsidRDefault="007E6C36" w:rsidP="002D088E">
      <w:pPr>
        <w:spacing w:before="200" w:after="80"/>
        <w:jc w:val="both"/>
        <w:rPr>
          <w:rFonts w:ascii="Gill Sans MT" w:hAnsi="Gill Sans MT"/>
          <w:bCs/>
          <w:sz w:val="22"/>
        </w:rPr>
      </w:pPr>
      <w:r w:rsidRPr="002D088E">
        <w:rPr>
          <w:rFonts w:ascii="Gill Sans MT" w:eastAsia="Times New Roman" w:hAnsi="Gill Sans MT" w:cs="Times New Roman"/>
          <w:bCs/>
          <w:sz w:val="22"/>
        </w:rPr>
        <w:t>2. Integrated TB-HIV care: The elevated mortality among HIV-positive TB survivors, even among those on ART, underscores the need for sustained integrated TB-HIV care extending beyond TB treatment completion, with attention to immune reconstitution, comorbidity management, and adherence support [2], [4], [25].</w:t>
      </w:r>
    </w:p>
    <w:p w14:paraId="58E21592" w14:textId="77777777" w:rsidR="007E6C36" w:rsidRPr="002D088E" w:rsidRDefault="007E6C36" w:rsidP="002D088E">
      <w:pPr>
        <w:spacing w:before="200" w:after="80"/>
        <w:jc w:val="both"/>
        <w:rPr>
          <w:rFonts w:ascii="Gill Sans MT" w:hAnsi="Gill Sans MT"/>
          <w:bCs/>
          <w:sz w:val="22"/>
        </w:rPr>
      </w:pPr>
      <w:r w:rsidRPr="002D088E">
        <w:rPr>
          <w:rFonts w:ascii="Gill Sans MT" w:eastAsia="Times New Roman" w:hAnsi="Gill Sans MT" w:cs="Times New Roman"/>
          <w:bCs/>
          <w:sz w:val="22"/>
        </w:rPr>
        <w:t>3. TB-NCD integration: The strong association between comorbidities (diabetes, chronic kidney disease) and post-treatment mortality supports the integration of TB and NCD services, including routine screening, co-management, and patient education [10], [21], [29].</w:t>
      </w:r>
    </w:p>
    <w:p w14:paraId="74626E28" w14:textId="77777777" w:rsidR="007E6C36" w:rsidRPr="002D088E" w:rsidRDefault="007E6C36" w:rsidP="002D088E">
      <w:pPr>
        <w:spacing w:before="200" w:after="80"/>
        <w:jc w:val="both"/>
        <w:rPr>
          <w:rFonts w:ascii="Gill Sans MT" w:hAnsi="Gill Sans MT"/>
          <w:bCs/>
          <w:sz w:val="22"/>
        </w:rPr>
      </w:pPr>
      <w:r w:rsidRPr="002D088E">
        <w:rPr>
          <w:rFonts w:ascii="Gill Sans MT" w:eastAsia="Times New Roman" w:hAnsi="Gill Sans MT" w:cs="Times New Roman"/>
          <w:bCs/>
          <w:sz w:val="22"/>
        </w:rPr>
        <w:t>4. Social protection: The striking association between unemployment and mortality (</w:t>
      </w:r>
      <w:proofErr w:type="spellStart"/>
      <w:r w:rsidRPr="002D088E">
        <w:rPr>
          <w:rFonts w:ascii="Gill Sans MT" w:eastAsia="Times New Roman" w:hAnsi="Gill Sans MT" w:cs="Times New Roman"/>
          <w:bCs/>
          <w:sz w:val="22"/>
        </w:rPr>
        <w:t>aHR</w:t>
      </w:r>
      <w:proofErr w:type="spellEnd"/>
      <w:r w:rsidRPr="002D088E">
        <w:rPr>
          <w:rFonts w:ascii="Gill Sans MT" w:eastAsia="Times New Roman" w:hAnsi="Gill Sans MT" w:cs="Times New Roman"/>
          <w:bCs/>
          <w:sz w:val="22"/>
        </w:rPr>
        <w:t xml:space="preserve"> 7.04) [1] highlights the need for social protection interventions as part of comprehensive TB care, including cash transfers, employment support, nutritional assistance, and protection against catastrophic costs.</w:t>
      </w:r>
    </w:p>
    <w:p w14:paraId="7F28F8DA" w14:textId="77777777" w:rsidR="007E6C36" w:rsidRPr="002D088E" w:rsidRDefault="007E6C36" w:rsidP="002D088E">
      <w:pPr>
        <w:spacing w:before="200" w:after="80"/>
        <w:jc w:val="both"/>
        <w:rPr>
          <w:rFonts w:ascii="Gill Sans MT" w:hAnsi="Gill Sans MT"/>
          <w:bCs/>
          <w:sz w:val="22"/>
        </w:rPr>
      </w:pPr>
      <w:r w:rsidRPr="002D088E">
        <w:rPr>
          <w:rFonts w:ascii="Gill Sans MT" w:eastAsia="Times New Roman" w:hAnsi="Gill Sans MT" w:cs="Times New Roman"/>
          <w:bCs/>
          <w:sz w:val="22"/>
        </w:rPr>
        <w:t xml:space="preserve">5. </w:t>
      </w:r>
      <w:proofErr w:type="gramStart"/>
      <w:r w:rsidRPr="002D088E">
        <w:rPr>
          <w:rFonts w:ascii="Gill Sans MT" w:eastAsia="Times New Roman" w:hAnsi="Gill Sans MT" w:cs="Times New Roman"/>
          <w:bCs/>
          <w:sz w:val="22"/>
        </w:rPr>
        <w:t>Post-TB</w:t>
      </w:r>
      <w:proofErr w:type="gramEnd"/>
      <w:r w:rsidRPr="002D088E">
        <w:rPr>
          <w:rFonts w:ascii="Gill Sans MT" w:eastAsia="Times New Roman" w:hAnsi="Gill Sans MT" w:cs="Times New Roman"/>
          <w:bCs/>
          <w:sz w:val="22"/>
        </w:rPr>
        <w:t xml:space="preserve"> lung disease management: The likely contribution of chronic pulmonary sequelae to long-term mortality supports the need for systematic assessment and management of post-TB lung disease, including pulmonary rehabilitation, treatment of chronic pulmonary aspergillosis, and management of bronchiectasis [5], [6], [17].</w:t>
      </w:r>
    </w:p>
    <w:p w14:paraId="61DFBB01" w14:textId="77777777" w:rsidR="007E6C36" w:rsidRPr="002D088E" w:rsidRDefault="007E6C36" w:rsidP="002D088E">
      <w:pPr>
        <w:spacing w:before="200" w:after="80"/>
        <w:jc w:val="both"/>
        <w:rPr>
          <w:rFonts w:ascii="Gill Sans MT" w:hAnsi="Gill Sans MT"/>
          <w:bCs/>
          <w:sz w:val="22"/>
        </w:rPr>
      </w:pPr>
      <w:r w:rsidRPr="002D088E">
        <w:rPr>
          <w:rFonts w:ascii="Gill Sans MT" w:eastAsia="Times New Roman" w:hAnsi="Gill Sans MT" w:cs="Times New Roman"/>
          <w:bCs/>
          <w:sz w:val="22"/>
        </w:rPr>
        <w:t>6. Expanded outcome measures: TB programs should expand outcome measures beyond treatment success to include long-term survival, post-TB lung disease, quality of life, and patient-reported outcomes, enabling more comprehensive assessment of program impact.</w:t>
      </w:r>
    </w:p>
    <w:p w14:paraId="5F160049" w14:textId="77777777" w:rsidR="007E6C36" w:rsidRPr="002D088E" w:rsidRDefault="007E6C36" w:rsidP="002D088E">
      <w:pPr>
        <w:pStyle w:val="Heading3"/>
        <w:spacing w:before="160" w:after="40"/>
        <w:jc w:val="both"/>
        <w:rPr>
          <w:rFonts w:ascii="Gill Sans MT" w:hAnsi="Gill Sans MT"/>
          <w:bCs w:val="0"/>
          <w:color w:val="auto"/>
          <w:sz w:val="22"/>
        </w:rPr>
      </w:pPr>
      <w:r w:rsidRPr="002D088E">
        <w:rPr>
          <w:rFonts w:ascii="Gill Sans MT" w:eastAsia="Times New Roman" w:hAnsi="Gill Sans MT" w:cs="Times New Roman"/>
          <w:bCs w:val="0"/>
          <w:color w:val="auto"/>
          <w:sz w:val="22"/>
        </w:rPr>
        <w:lastRenderedPageBreak/>
        <w:t>4.5 Implications for Research</w:t>
      </w:r>
    </w:p>
    <w:p w14:paraId="6A15D213" w14:textId="77777777" w:rsidR="007E6C36" w:rsidRPr="002D088E" w:rsidRDefault="007E6C36" w:rsidP="002D088E">
      <w:pPr>
        <w:jc w:val="both"/>
        <w:rPr>
          <w:rFonts w:ascii="Gill Sans MT" w:hAnsi="Gill Sans MT"/>
          <w:bCs/>
          <w:sz w:val="22"/>
        </w:rPr>
      </w:pPr>
      <w:r w:rsidRPr="002D088E">
        <w:rPr>
          <w:rFonts w:ascii="Gill Sans MT" w:eastAsia="Times New Roman" w:hAnsi="Gill Sans MT" w:cs="Times New Roman"/>
          <w:bCs/>
          <w:sz w:val="22"/>
        </w:rPr>
        <w:t>This review identified several priority areas for future research:</w:t>
      </w:r>
    </w:p>
    <w:p w14:paraId="62290FC5" w14:textId="77777777" w:rsidR="007E6C36" w:rsidRPr="002D088E" w:rsidRDefault="007E6C36" w:rsidP="002D088E">
      <w:pPr>
        <w:spacing w:before="200" w:after="80"/>
        <w:jc w:val="both"/>
        <w:rPr>
          <w:rFonts w:ascii="Gill Sans MT" w:hAnsi="Gill Sans MT"/>
          <w:bCs/>
          <w:sz w:val="22"/>
        </w:rPr>
      </w:pPr>
      <w:r w:rsidRPr="002D088E">
        <w:rPr>
          <w:rFonts w:ascii="Gill Sans MT" w:eastAsia="Times New Roman" w:hAnsi="Gill Sans MT" w:cs="Times New Roman"/>
          <w:bCs/>
          <w:sz w:val="22"/>
        </w:rPr>
        <w:t>1. Cause-specific mortality: Prospective cohort studies with systematic cause-of-death ascertainment (e.g., verbal autopsy, medical record review) are needed to elucidate the pathways linking TB to long-term mortality and identify targets for intervention.</w:t>
      </w:r>
    </w:p>
    <w:p w14:paraId="5C4EF5D8" w14:textId="77777777" w:rsidR="007E6C36" w:rsidRPr="002D088E" w:rsidRDefault="007E6C36" w:rsidP="002D088E">
      <w:pPr>
        <w:spacing w:before="200" w:after="80"/>
        <w:jc w:val="both"/>
        <w:rPr>
          <w:rFonts w:ascii="Gill Sans MT" w:hAnsi="Gill Sans MT"/>
          <w:bCs/>
          <w:sz w:val="22"/>
        </w:rPr>
      </w:pPr>
      <w:r w:rsidRPr="002D088E">
        <w:rPr>
          <w:rFonts w:ascii="Gill Sans MT" w:eastAsia="Times New Roman" w:hAnsi="Gill Sans MT" w:cs="Times New Roman"/>
          <w:bCs/>
          <w:sz w:val="22"/>
        </w:rPr>
        <w:t xml:space="preserve">2. </w:t>
      </w:r>
      <w:proofErr w:type="gramStart"/>
      <w:r w:rsidRPr="002D088E">
        <w:rPr>
          <w:rFonts w:ascii="Gill Sans MT" w:eastAsia="Times New Roman" w:hAnsi="Gill Sans MT" w:cs="Times New Roman"/>
          <w:bCs/>
          <w:sz w:val="22"/>
        </w:rPr>
        <w:t>Post-TB</w:t>
      </w:r>
      <w:proofErr w:type="gramEnd"/>
      <w:r w:rsidRPr="002D088E">
        <w:rPr>
          <w:rFonts w:ascii="Gill Sans MT" w:eastAsia="Times New Roman" w:hAnsi="Gill Sans MT" w:cs="Times New Roman"/>
          <w:bCs/>
          <w:sz w:val="22"/>
        </w:rPr>
        <w:t xml:space="preserve"> lung disease: Standardized assessment of chronic pulmonary sequelae (e.g., spirometry, chest imaging, functional status) and their relationship to mortality, quality of life, and healthcare utilization is needed.</w:t>
      </w:r>
    </w:p>
    <w:p w14:paraId="5C3A5448" w14:textId="77777777" w:rsidR="007E6C36" w:rsidRPr="002D088E" w:rsidRDefault="007E6C36" w:rsidP="002D088E">
      <w:pPr>
        <w:spacing w:before="200" w:after="80"/>
        <w:jc w:val="both"/>
        <w:rPr>
          <w:rFonts w:ascii="Gill Sans MT" w:hAnsi="Gill Sans MT"/>
          <w:bCs/>
          <w:sz w:val="22"/>
        </w:rPr>
      </w:pPr>
      <w:r w:rsidRPr="002D088E">
        <w:rPr>
          <w:rFonts w:ascii="Gill Sans MT" w:eastAsia="Times New Roman" w:hAnsi="Gill Sans MT" w:cs="Times New Roman"/>
          <w:bCs/>
          <w:sz w:val="22"/>
        </w:rPr>
        <w:t>3. Intervention trials: Randomized controlled trials or quasi-experimental studies evaluating post-TB follow-up models, integrated TB-NCD care, social protection interventions, and pulmonary rehabilitation are urgently needed to identify effective strategies for reducing post-treatment mortality.</w:t>
      </w:r>
    </w:p>
    <w:p w14:paraId="44C02ED0" w14:textId="77777777" w:rsidR="007E6C36" w:rsidRPr="002D088E" w:rsidRDefault="007E6C36" w:rsidP="002D088E">
      <w:pPr>
        <w:spacing w:before="200" w:after="80"/>
        <w:jc w:val="both"/>
        <w:rPr>
          <w:rFonts w:ascii="Gill Sans MT" w:hAnsi="Gill Sans MT"/>
          <w:bCs/>
          <w:sz w:val="22"/>
        </w:rPr>
      </w:pPr>
      <w:r w:rsidRPr="002D088E">
        <w:rPr>
          <w:rFonts w:ascii="Gill Sans MT" w:eastAsia="Times New Roman" w:hAnsi="Gill Sans MT" w:cs="Times New Roman"/>
          <w:bCs/>
          <w:sz w:val="22"/>
        </w:rPr>
        <w:t>4. Mechanistic studies: Research elucidating the biological, clinical, and socioeconomic pathways linking TB to long-term mortality—including lung function, systemic inflammation, immune function, and socioeconomic recovery—is needed to inform intervention design.</w:t>
      </w:r>
    </w:p>
    <w:p w14:paraId="1BD0C78B" w14:textId="77777777" w:rsidR="007E6C36" w:rsidRPr="002D088E" w:rsidRDefault="007E6C36" w:rsidP="002D088E">
      <w:pPr>
        <w:spacing w:before="200" w:after="80"/>
        <w:jc w:val="both"/>
        <w:rPr>
          <w:rFonts w:ascii="Gill Sans MT" w:hAnsi="Gill Sans MT"/>
          <w:bCs/>
          <w:sz w:val="22"/>
        </w:rPr>
      </w:pPr>
      <w:r w:rsidRPr="002D088E">
        <w:rPr>
          <w:rFonts w:ascii="Gill Sans MT" w:eastAsia="Times New Roman" w:hAnsi="Gill Sans MT" w:cs="Times New Roman"/>
          <w:bCs/>
          <w:sz w:val="22"/>
        </w:rPr>
        <w:t>5. Generalizability: Population-based cohort studies in diverse settings, particularly in high-burden, low-resource settings in sub-Saharan Africa and Asia, are needed to improve generalizability and inform context-specific interventions.</w:t>
      </w:r>
    </w:p>
    <w:p w14:paraId="3383DB24" w14:textId="77777777" w:rsidR="007E6C36" w:rsidRPr="002D088E" w:rsidRDefault="007E6C36" w:rsidP="002D088E">
      <w:pPr>
        <w:spacing w:before="200" w:after="80"/>
        <w:jc w:val="both"/>
        <w:rPr>
          <w:rFonts w:ascii="Gill Sans MT" w:hAnsi="Gill Sans MT"/>
          <w:bCs/>
          <w:sz w:val="22"/>
        </w:rPr>
      </w:pPr>
      <w:r w:rsidRPr="002D088E">
        <w:rPr>
          <w:rFonts w:ascii="Gill Sans MT" w:eastAsia="Times New Roman" w:hAnsi="Gill Sans MT" w:cs="Times New Roman"/>
          <w:bCs/>
          <w:sz w:val="22"/>
        </w:rPr>
        <w:t>6. Standardization: Development and adoption of standardized definitions, outcome measures, and follow-up protocols would improve comparability across studies and enable more robust pooled estimation.</w:t>
      </w:r>
    </w:p>
    <w:p w14:paraId="647ABE08" w14:textId="77777777" w:rsidR="007E6C36" w:rsidRPr="002D088E" w:rsidRDefault="007E6C36" w:rsidP="002D088E">
      <w:pPr>
        <w:pStyle w:val="Heading3"/>
        <w:spacing w:before="160" w:after="40"/>
        <w:jc w:val="both"/>
        <w:rPr>
          <w:rFonts w:ascii="Gill Sans MT" w:hAnsi="Gill Sans MT"/>
          <w:color w:val="auto"/>
          <w:sz w:val="22"/>
        </w:rPr>
      </w:pPr>
      <w:r w:rsidRPr="002D088E">
        <w:rPr>
          <w:rFonts w:ascii="Gill Sans MT" w:eastAsia="Times New Roman" w:hAnsi="Gill Sans MT" w:cs="Times New Roman"/>
          <w:color w:val="auto"/>
          <w:sz w:val="22"/>
        </w:rPr>
        <w:t>4.6 Strengths and Limitations</w:t>
      </w:r>
    </w:p>
    <w:p w14:paraId="53D91D76" w14:textId="77777777" w:rsidR="007E6C36" w:rsidRPr="002D088E" w:rsidRDefault="007E6C36" w:rsidP="002D088E">
      <w:pPr>
        <w:jc w:val="both"/>
        <w:rPr>
          <w:rFonts w:ascii="Gill Sans MT" w:hAnsi="Gill Sans MT"/>
          <w:sz w:val="22"/>
        </w:rPr>
      </w:pPr>
      <w:r w:rsidRPr="002D088E">
        <w:rPr>
          <w:rFonts w:ascii="Gill Sans MT" w:eastAsia="Times New Roman" w:hAnsi="Gill Sans MT" w:cs="Times New Roman"/>
          <w:sz w:val="22"/>
        </w:rPr>
        <w:t>This review has several strengths. We conducted a comprehensive search of multiple databases using diverse search strategies, maximizing sensitivity. We followed PRISMA guidelines and used standardized data extraction and quality assessment procedures. We synthesized evidence on incidence, timing, and predictors, providing a comprehensive overview of post-TB mortality.</w:t>
      </w:r>
    </w:p>
    <w:p w14:paraId="4B4C0891" w14:textId="77777777" w:rsidR="007E6C36" w:rsidRPr="002D088E" w:rsidRDefault="007E6C36" w:rsidP="002D088E">
      <w:pPr>
        <w:jc w:val="both"/>
        <w:rPr>
          <w:rFonts w:ascii="Gill Sans MT" w:hAnsi="Gill Sans MT"/>
          <w:sz w:val="22"/>
        </w:rPr>
      </w:pPr>
      <w:r w:rsidRPr="002D088E">
        <w:rPr>
          <w:rFonts w:ascii="Gill Sans MT" w:eastAsia="Times New Roman" w:hAnsi="Gill Sans MT" w:cs="Times New Roman"/>
          <w:sz w:val="22"/>
        </w:rPr>
        <w:t>Several limitations should be noted. First, we included only English-language studies, potentially excluding relevant evidence from non-English-speaking settings. Second, the high heterogeneity across studies (I²=99%) limited our ability to conduct meta-analysis and generate precise pooled estimates. Third, most included studies were retrospective cohorts with inherent limitations, including potential selection bias, loss to follow-up, and residual confounding. Fourth, few studies reported cause-specific mortality or standardized measures of post-TB lung disease, limiting mechanistic insights. Fifth, we relied on published data and did not contact authors for additional information, potentially missing relevant data. Finally, the concentration of evidence in specific populations (HIV, drug-resistant TB) and settings limits generalizability to broader TB survivor populations.</w:t>
      </w:r>
    </w:p>
    <w:p w14:paraId="4F1D9E53" w14:textId="77777777" w:rsidR="00170BD9" w:rsidRPr="002D088E" w:rsidRDefault="00000000" w:rsidP="002D088E">
      <w:pPr>
        <w:pStyle w:val="SectionHeadingAIDSAE"/>
        <w:jc w:val="both"/>
        <w:rPr>
          <w:rFonts w:ascii="Gill Sans MT" w:hAnsi="Gill Sans MT"/>
          <w:sz w:val="22"/>
        </w:rPr>
      </w:pPr>
      <w:r w:rsidRPr="002D088E">
        <w:rPr>
          <w:rFonts w:ascii="Gill Sans MT" w:hAnsi="Gill Sans MT"/>
          <w:sz w:val="22"/>
        </w:rPr>
        <w:t>5. Conclusion</w:t>
      </w:r>
    </w:p>
    <w:p w14:paraId="3E4FC366" w14:textId="77777777" w:rsidR="00DF355B" w:rsidRPr="002D088E" w:rsidRDefault="00DF355B" w:rsidP="002D088E">
      <w:pPr>
        <w:jc w:val="both"/>
        <w:rPr>
          <w:rFonts w:ascii="Gill Sans MT" w:hAnsi="Gill Sans MT"/>
          <w:sz w:val="22"/>
        </w:rPr>
      </w:pPr>
      <w:r w:rsidRPr="002D088E">
        <w:rPr>
          <w:rFonts w:ascii="Gill Sans MT" w:eastAsia="Times New Roman" w:hAnsi="Gill Sans MT" w:cs="Times New Roman"/>
          <w:sz w:val="22"/>
        </w:rPr>
        <w:t>TB survivors experience substantially elevated long-term mortality, with nearly three-fold higher all-cause mortality compared to general populations. Mortality is concentrated in the first 1–3 years after treatment completion but persists for many years. Consistent predictors include HIV co-infection and low CD4 count, prior TB or retreatment, older age, comorbidities (diabetes, chronic kidney disease, malignancy), drug-resistant TB, and socioeconomic vulnerability, particularly unemployment. High heterogeneity across studies reflects diverse populations, settings, and follow-up durations. Major evidence gaps include limited cause-specific mortality data, scarce intervention studies, and underrepresentation of general TB populations in high-burden settings.</w:t>
      </w:r>
    </w:p>
    <w:p w14:paraId="1507F374" w14:textId="77777777" w:rsidR="00DF355B" w:rsidRPr="002D088E" w:rsidRDefault="00DF355B" w:rsidP="002D088E">
      <w:pPr>
        <w:jc w:val="both"/>
        <w:rPr>
          <w:rFonts w:ascii="Gill Sans MT" w:hAnsi="Gill Sans MT"/>
          <w:sz w:val="22"/>
        </w:rPr>
      </w:pPr>
      <w:r w:rsidRPr="002D088E">
        <w:rPr>
          <w:rFonts w:ascii="Gill Sans MT" w:eastAsia="Times New Roman" w:hAnsi="Gill Sans MT" w:cs="Times New Roman"/>
          <w:sz w:val="22"/>
        </w:rPr>
        <w:lastRenderedPageBreak/>
        <w:t>These findings support the need for structured post-TB follow-up, integrated TB-HIV and TB-NCD care, social protection interventions, and systematic management of post-TB lung disease, particularly in the first three years after treatment completion. Expanded outcome measures in TB programs, including long-term survival and patient-reported outcomes, are needed to comprehensively assess program impact. Priority research areas include cause-specific mortality studies, intervention trials evaluating post-TB follow-up models and social protection programs, mechanistic studies elucidating pathways to long-term mortality, and population-based cohorts in diverse high-burden settings.</w:t>
      </w:r>
    </w:p>
    <w:p w14:paraId="6D1362FC" w14:textId="77777777" w:rsidR="00170BD9" w:rsidRPr="002D088E" w:rsidRDefault="00000000" w:rsidP="002D088E">
      <w:pPr>
        <w:pStyle w:val="SectionHeadingAIDSAE"/>
        <w:jc w:val="both"/>
        <w:rPr>
          <w:rFonts w:ascii="Gill Sans MT" w:hAnsi="Gill Sans MT"/>
          <w:sz w:val="22"/>
        </w:rPr>
      </w:pPr>
      <w:r w:rsidRPr="002D088E">
        <w:rPr>
          <w:rFonts w:ascii="Gill Sans MT" w:hAnsi="Gill Sans MT"/>
          <w:sz w:val="22"/>
        </w:rPr>
        <w:t>Acknowledgements</w:t>
      </w:r>
    </w:p>
    <w:p w14:paraId="07686F20" w14:textId="253B4D7B" w:rsidR="000917A3" w:rsidRPr="002D088E" w:rsidRDefault="000917A3" w:rsidP="002D088E">
      <w:pPr>
        <w:pStyle w:val="NormalWeb"/>
        <w:spacing w:before="0" w:beforeAutospacing="0" w:after="0" w:afterAutospacing="0" w:line="276" w:lineRule="auto"/>
        <w:jc w:val="both"/>
        <w:rPr>
          <w:rFonts w:ascii="Gill Sans MT" w:hAnsi="Gill Sans MT"/>
          <w:sz w:val="22"/>
          <w:szCs w:val="22"/>
        </w:rPr>
      </w:pPr>
      <w:r w:rsidRPr="002D088E">
        <w:rPr>
          <w:rFonts w:ascii="Gill Sans MT" w:hAnsi="Gill Sans MT"/>
          <w:sz w:val="22"/>
          <w:szCs w:val="22"/>
        </w:rPr>
        <w:t>The authors gratefully acknowledge the academic and institutional support received during the preparation of this manuscript. We appreciate the guidance and scholarly input from colleagues in the School of Public Health, College of Health Sciences, Makerere University, whose insights helped refine the focus and structure of this review. We also acknowledge the researchers whose primary studies and systematic reviews provided the evidence base for this synthesis. Their contributions to the understanding of post-tuberculosis outcomes made this review possible. The authors further appreciate the support of Uganda Heart Institute for providing an enabling professional environment that continues to stimulate interest in post-treatment health outcomes, long-term patient survival, and health systems strengthening. No specific funding was received for this work.</w:t>
      </w:r>
    </w:p>
    <w:p w14:paraId="12AC13B7" w14:textId="77777777" w:rsidR="00170BD9" w:rsidRPr="00DF355B" w:rsidRDefault="00000000">
      <w:pPr>
        <w:pStyle w:val="SectionHeadingAIDSAE"/>
        <w:rPr>
          <w:rFonts w:ascii="Gill Sans MT" w:hAnsi="Gill Sans MT"/>
          <w:szCs w:val="25"/>
        </w:rPr>
      </w:pPr>
      <w:r w:rsidRPr="00DF355B">
        <w:rPr>
          <w:rFonts w:ascii="Gill Sans MT" w:hAnsi="Gill Sans MT"/>
          <w:szCs w:val="25"/>
        </w:rPr>
        <w:t>Funding</w:t>
      </w:r>
    </w:p>
    <w:p w14:paraId="6E7CFBCA" w14:textId="77777777" w:rsidR="00170BD9" w:rsidRPr="00DF355B" w:rsidRDefault="00000000">
      <w:pPr>
        <w:jc w:val="both"/>
        <w:rPr>
          <w:rFonts w:ascii="Gill Sans MT" w:hAnsi="Gill Sans MT"/>
          <w:sz w:val="22"/>
        </w:rPr>
      </w:pPr>
      <w:r w:rsidRPr="00DF355B">
        <w:rPr>
          <w:rFonts w:ascii="Gill Sans MT" w:hAnsi="Gill Sans MT"/>
          <w:sz w:val="22"/>
        </w:rPr>
        <w:t>The authors received no specific funding for this work.</w:t>
      </w:r>
    </w:p>
    <w:p w14:paraId="4BD469F2" w14:textId="77777777" w:rsidR="00170BD9" w:rsidRPr="00DF355B" w:rsidRDefault="00000000">
      <w:pPr>
        <w:pStyle w:val="SectionHeadingAIDSAE"/>
        <w:rPr>
          <w:rFonts w:ascii="Gill Sans MT" w:hAnsi="Gill Sans MT"/>
          <w:szCs w:val="25"/>
        </w:rPr>
      </w:pPr>
      <w:r w:rsidRPr="00DF355B">
        <w:rPr>
          <w:rFonts w:ascii="Gill Sans MT" w:hAnsi="Gill Sans MT"/>
          <w:szCs w:val="25"/>
        </w:rPr>
        <w:t>Conflicts of Interest</w:t>
      </w:r>
    </w:p>
    <w:p w14:paraId="2EF1429B" w14:textId="77777777" w:rsidR="00DF355B" w:rsidRPr="00DF355B" w:rsidRDefault="00DF355B" w:rsidP="00DF355B">
      <w:pPr>
        <w:jc w:val="both"/>
        <w:rPr>
          <w:rFonts w:ascii="Gill Sans MT" w:hAnsi="Gill Sans MT"/>
          <w:sz w:val="22"/>
        </w:rPr>
      </w:pPr>
      <w:r w:rsidRPr="00DF355B">
        <w:rPr>
          <w:rFonts w:ascii="Gill Sans MT" w:eastAsia="Times New Roman" w:hAnsi="Gill Sans MT" w:cs="Times New Roman"/>
          <w:sz w:val="22"/>
        </w:rPr>
        <w:t>The authors declare no conflicts of interest.</w:t>
      </w:r>
    </w:p>
    <w:p w14:paraId="7894F80A" w14:textId="77777777" w:rsidR="00170BD9" w:rsidRPr="00DF355B" w:rsidRDefault="00000000">
      <w:pPr>
        <w:pStyle w:val="SectionHeadingAIDSAE"/>
        <w:rPr>
          <w:rFonts w:ascii="Gill Sans MT" w:hAnsi="Gill Sans MT"/>
          <w:szCs w:val="25"/>
        </w:rPr>
      </w:pPr>
      <w:r w:rsidRPr="00DF355B">
        <w:rPr>
          <w:rFonts w:ascii="Gill Sans MT" w:hAnsi="Gill Sans MT"/>
          <w:szCs w:val="25"/>
        </w:rPr>
        <w:t>Data Availability Statement</w:t>
      </w:r>
    </w:p>
    <w:p w14:paraId="05FC9FA2" w14:textId="77777777" w:rsidR="00170BD9" w:rsidRPr="00DF355B" w:rsidRDefault="00DF355B">
      <w:pPr>
        <w:jc w:val="both"/>
        <w:rPr>
          <w:rFonts w:ascii="Gill Sans MT" w:hAnsi="Gill Sans MT"/>
          <w:sz w:val="22"/>
        </w:rPr>
      </w:pPr>
      <w:r w:rsidRPr="00DF355B">
        <w:rPr>
          <w:rFonts w:ascii="Gill Sans MT" w:hAnsi="Gill Sans MT"/>
          <w:sz w:val="22"/>
        </w:rPr>
        <w:t>Available upon reasonable request from the principal author</w:t>
      </w:r>
    </w:p>
    <w:p w14:paraId="4784B10A" w14:textId="77777777" w:rsidR="00170BD9" w:rsidRPr="00DF355B" w:rsidRDefault="00000000">
      <w:pPr>
        <w:pStyle w:val="SectionHeadingAIDSAE"/>
        <w:rPr>
          <w:rFonts w:ascii="Gill Sans MT" w:hAnsi="Gill Sans MT"/>
          <w:szCs w:val="25"/>
        </w:rPr>
      </w:pPr>
      <w:r w:rsidRPr="00DF355B">
        <w:rPr>
          <w:rFonts w:ascii="Gill Sans MT" w:hAnsi="Gill Sans MT"/>
          <w:szCs w:val="25"/>
        </w:rPr>
        <w:t>Author Contributions</w:t>
      </w:r>
    </w:p>
    <w:p w14:paraId="4888A666" w14:textId="77777777" w:rsidR="00170BD9" w:rsidRPr="00DF355B" w:rsidRDefault="00DF355B">
      <w:pPr>
        <w:jc w:val="both"/>
        <w:rPr>
          <w:rFonts w:ascii="Gill Sans MT" w:hAnsi="Gill Sans MT"/>
          <w:sz w:val="22"/>
        </w:rPr>
      </w:pPr>
      <w:r w:rsidRPr="00DF355B">
        <w:rPr>
          <w:rFonts w:ascii="Gill Sans MT" w:eastAsia="Times New Roman" w:hAnsi="Gill Sans MT" w:cs="Times New Roman"/>
          <w:b/>
          <w:bCs/>
          <w:sz w:val="22"/>
        </w:rPr>
        <w:t>NM</w:t>
      </w:r>
      <w:r w:rsidRPr="00DF355B">
        <w:rPr>
          <w:rFonts w:ascii="Gill Sans MT" w:hAnsi="Gill Sans MT"/>
          <w:sz w:val="22"/>
        </w:rPr>
        <w:t>: Conceptualization, methodology, formal analysis, writing—original draft, writing—review and editing.</w:t>
      </w:r>
      <w:r w:rsidRPr="00DF355B">
        <w:rPr>
          <w:rFonts w:ascii="Gill Sans MT" w:eastAsia="Times New Roman" w:hAnsi="Gill Sans MT" w:cs="Times New Roman"/>
          <w:sz w:val="22"/>
        </w:rPr>
        <w:t xml:space="preserve"> </w:t>
      </w:r>
      <w:r w:rsidRPr="00DF355B">
        <w:rPr>
          <w:rFonts w:ascii="Gill Sans MT" w:eastAsia="Times New Roman" w:hAnsi="Gill Sans MT" w:cs="Times New Roman"/>
          <w:b/>
          <w:bCs/>
          <w:sz w:val="22"/>
        </w:rPr>
        <w:t>BE</w:t>
      </w:r>
      <w:r w:rsidRPr="00DF355B">
        <w:rPr>
          <w:rFonts w:ascii="Gill Sans MT" w:eastAsia="Times New Roman" w:hAnsi="Gill Sans MT" w:cs="Times New Roman"/>
          <w:sz w:val="22"/>
        </w:rPr>
        <w:t xml:space="preserve">, </w:t>
      </w:r>
      <w:r w:rsidRPr="00DF355B">
        <w:rPr>
          <w:rFonts w:ascii="Gill Sans MT" w:eastAsia="Times New Roman" w:hAnsi="Gill Sans MT" w:cs="Times New Roman"/>
          <w:b/>
          <w:bCs/>
          <w:sz w:val="22"/>
        </w:rPr>
        <w:t xml:space="preserve">AP: </w:t>
      </w:r>
      <w:r w:rsidRPr="00DF355B">
        <w:rPr>
          <w:rFonts w:ascii="Gill Sans MT" w:eastAsia="Times New Roman" w:hAnsi="Gill Sans MT" w:cs="Times New Roman"/>
          <w:sz w:val="22"/>
        </w:rPr>
        <w:t>Methodology, editing, supervision</w:t>
      </w:r>
    </w:p>
    <w:p w14:paraId="4F072CFD" w14:textId="77777777" w:rsidR="00170BD9" w:rsidRPr="00DF355B" w:rsidRDefault="00000000">
      <w:pPr>
        <w:pStyle w:val="SectionHeadingAIDSAE"/>
        <w:rPr>
          <w:rFonts w:ascii="Gill Sans MT" w:hAnsi="Gill Sans MT"/>
        </w:rPr>
      </w:pPr>
      <w:r w:rsidRPr="00DF355B">
        <w:rPr>
          <w:rFonts w:ascii="Gill Sans MT" w:hAnsi="Gill Sans MT"/>
        </w:rPr>
        <w:t>References</w:t>
      </w:r>
    </w:p>
    <w:p w14:paraId="6155B3C2" w14:textId="77777777" w:rsidR="00DF355B" w:rsidRPr="002D088E" w:rsidRDefault="00DF355B" w:rsidP="002D088E">
      <w:pPr>
        <w:jc w:val="both"/>
        <w:rPr>
          <w:rFonts w:ascii="Gill Sans MT" w:hAnsi="Gill Sans MT"/>
          <w:bCs/>
          <w:sz w:val="22"/>
        </w:rPr>
      </w:pPr>
      <w:r w:rsidRPr="002D088E">
        <w:rPr>
          <w:rFonts w:ascii="Gill Sans MT" w:eastAsia="Times New Roman" w:hAnsi="Gill Sans MT" w:cs="Times New Roman"/>
          <w:bCs/>
          <w:sz w:val="22"/>
        </w:rPr>
        <w:t xml:space="preserve">1. </w:t>
      </w:r>
      <w:proofErr w:type="spellStart"/>
      <w:r w:rsidRPr="002D088E">
        <w:rPr>
          <w:rFonts w:ascii="Gill Sans MT" w:eastAsia="Times New Roman" w:hAnsi="Gill Sans MT" w:cs="Times New Roman"/>
          <w:bCs/>
          <w:sz w:val="22"/>
        </w:rPr>
        <w:t>Baluku</w:t>
      </w:r>
      <w:proofErr w:type="spellEnd"/>
      <w:r w:rsidRPr="002D088E">
        <w:rPr>
          <w:rFonts w:ascii="Gill Sans MT" w:eastAsia="Times New Roman" w:hAnsi="Gill Sans MT" w:cs="Times New Roman"/>
          <w:bCs/>
          <w:sz w:val="22"/>
        </w:rPr>
        <w:t xml:space="preserve"> JB, </w:t>
      </w:r>
      <w:proofErr w:type="spellStart"/>
      <w:r w:rsidRPr="002D088E">
        <w:rPr>
          <w:rFonts w:ascii="Gill Sans MT" w:eastAsia="Times New Roman" w:hAnsi="Gill Sans MT" w:cs="Times New Roman"/>
          <w:bCs/>
          <w:sz w:val="22"/>
        </w:rPr>
        <w:t>Nakazibwe</w:t>
      </w:r>
      <w:proofErr w:type="spellEnd"/>
      <w:r w:rsidRPr="002D088E">
        <w:rPr>
          <w:rFonts w:ascii="Gill Sans MT" w:eastAsia="Times New Roman" w:hAnsi="Gill Sans MT" w:cs="Times New Roman"/>
          <w:bCs/>
          <w:sz w:val="22"/>
        </w:rPr>
        <w:t xml:space="preserve"> B, </w:t>
      </w:r>
      <w:proofErr w:type="spellStart"/>
      <w:r w:rsidRPr="002D088E">
        <w:rPr>
          <w:rFonts w:ascii="Gill Sans MT" w:eastAsia="Times New Roman" w:hAnsi="Gill Sans MT" w:cs="Times New Roman"/>
          <w:bCs/>
          <w:sz w:val="22"/>
        </w:rPr>
        <w:t>Naloka</w:t>
      </w:r>
      <w:proofErr w:type="spellEnd"/>
      <w:r w:rsidRPr="002D088E">
        <w:rPr>
          <w:rFonts w:ascii="Gill Sans MT" w:eastAsia="Times New Roman" w:hAnsi="Gill Sans MT" w:cs="Times New Roman"/>
          <w:bCs/>
          <w:sz w:val="22"/>
        </w:rPr>
        <w:t xml:space="preserve"> J, </w:t>
      </w:r>
      <w:proofErr w:type="spellStart"/>
      <w:r w:rsidRPr="002D088E">
        <w:rPr>
          <w:rFonts w:ascii="Gill Sans MT" w:eastAsia="Times New Roman" w:hAnsi="Gill Sans MT" w:cs="Times New Roman"/>
          <w:bCs/>
          <w:sz w:val="22"/>
        </w:rPr>
        <w:t>Nabwana</w:t>
      </w:r>
      <w:proofErr w:type="spellEnd"/>
      <w:r w:rsidRPr="002D088E">
        <w:rPr>
          <w:rFonts w:ascii="Gill Sans MT" w:eastAsia="Times New Roman" w:hAnsi="Gill Sans MT" w:cs="Times New Roman"/>
          <w:bCs/>
          <w:sz w:val="22"/>
        </w:rPr>
        <w:t xml:space="preserve"> M, </w:t>
      </w:r>
      <w:proofErr w:type="spellStart"/>
      <w:r w:rsidRPr="002D088E">
        <w:rPr>
          <w:rFonts w:ascii="Gill Sans MT" w:eastAsia="Times New Roman" w:hAnsi="Gill Sans MT" w:cs="Times New Roman"/>
          <w:bCs/>
          <w:sz w:val="22"/>
        </w:rPr>
        <w:t>Mwanja</w:t>
      </w:r>
      <w:proofErr w:type="spellEnd"/>
      <w:r w:rsidRPr="002D088E">
        <w:rPr>
          <w:rFonts w:ascii="Gill Sans MT" w:eastAsia="Times New Roman" w:hAnsi="Gill Sans MT" w:cs="Times New Roman"/>
          <w:bCs/>
          <w:sz w:val="22"/>
        </w:rPr>
        <w:t xml:space="preserve"> S, </w:t>
      </w:r>
      <w:proofErr w:type="spellStart"/>
      <w:r w:rsidRPr="002D088E">
        <w:rPr>
          <w:rFonts w:ascii="Gill Sans MT" w:eastAsia="Times New Roman" w:hAnsi="Gill Sans MT" w:cs="Times New Roman"/>
          <w:bCs/>
          <w:sz w:val="22"/>
        </w:rPr>
        <w:t>Mulwana</w:t>
      </w:r>
      <w:proofErr w:type="spellEnd"/>
      <w:r w:rsidRPr="002D088E">
        <w:rPr>
          <w:rFonts w:ascii="Gill Sans MT" w:eastAsia="Times New Roman" w:hAnsi="Gill Sans MT" w:cs="Times New Roman"/>
          <w:bCs/>
          <w:sz w:val="22"/>
        </w:rPr>
        <w:t xml:space="preserve"> R, et al. Death after cure: mortality among pulmonary tuberculosis survivors in rural Uganda. Int J Infect Dis. </w:t>
      </w:r>
      <w:proofErr w:type="gramStart"/>
      <w:r w:rsidRPr="002D088E">
        <w:rPr>
          <w:rFonts w:ascii="Gill Sans MT" w:eastAsia="Times New Roman" w:hAnsi="Gill Sans MT" w:cs="Times New Roman"/>
          <w:bCs/>
          <w:sz w:val="22"/>
        </w:rPr>
        <w:t>2024;144:107069</w:t>
      </w:r>
      <w:proofErr w:type="gramEnd"/>
      <w:r w:rsidRPr="002D088E">
        <w:rPr>
          <w:rFonts w:ascii="Gill Sans MT" w:eastAsia="Times New Roman" w:hAnsi="Gill Sans MT" w:cs="Times New Roman"/>
          <w:bCs/>
          <w:sz w:val="22"/>
        </w:rPr>
        <w:t>. https://doi.org/10.1016/j.ijid.2024.107069</w:t>
      </w:r>
    </w:p>
    <w:p w14:paraId="2FDE0F1E" w14:textId="77777777" w:rsidR="00DF355B" w:rsidRPr="002D088E" w:rsidRDefault="00DF355B" w:rsidP="002D088E">
      <w:pPr>
        <w:jc w:val="both"/>
        <w:rPr>
          <w:rFonts w:ascii="Gill Sans MT" w:hAnsi="Gill Sans MT"/>
          <w:bCs/>
          <w:sz w:val="22"/>
        </w:rPr>
      </w:pPr>
      <w:r w:rsidRPr="002D088E">
        <w:rPr>
          <w:rFonts w:ascii="Gill Sans MT" w:eastAsia="Times New Roman" w:hAnsi="Gill Sans MT" w:cs="Times New Roman"/>
          <w:bCs/>
          <w:sz w:val="22"/>
        </w:rPr>
        <w:t xml:space="preserve">2. </w:t>
      </w:r>
      <w:proofErr w:type="spellStart"/>
      <w:r w:rsidRPr="002D088E">
        <w:rPr>
          <w:rFonts w:ascii="Gill Sans MT" w:eastAsia="Times New Roman" w:hAnsi="Gill Sans MT" w:cs="Times New Roman"/>
          <w:bCs/>
          <w:sz w:val="22"/>
        </w:rPr>
        <w:t>Lumu</w:t>
      </w:r>
      <w:proofErr w:type="spellEnd"/>
      <w:r w:rsidRPr="002D088E">
        <w:rPr>
          <w:rFonts w:ascii="Gill Sans MT" w:eastAsia="Times New Roman" w:hAnsi="Gill Sans MT" w:cs="Times New Roman"/>
          <w:bCs/>
          <w:sz w:val="22"/>
        </w:rPr>
        <w:t xml:space="preserve"> I, </w:t>
      </w:r>
      <w:proofErr w:type="spellStart"/>
      <w:r w:rsidRPr="002D088E">
        <w:rPr>
          <w:rFonts w:ascii="Gill Sans MT" w:eastAsia="Times New Roman" w:hAnsi="Gill Sans MT" w:cs="Times New Roman"/>
          <w:bCs/>
          <w:sz w:val="22"/>
        </w:rPr>
        <w:t>Naloka</w:t>
      </w:r>
      <w:proofErr w:type="spellEnd"/>
      <w:r w:rsidRPr="002D088E">
        <w:rPr>
          <w:rFonts w:ascii="Gill Sans MT" w:eastAsia="Times New Roman" w:hAnsi="Gill Sans MT" w:cs="Times New Roman"/>
          <w:bCs/>
          <w:sz w:val="22"/>
        </w:rPr>
        <w:t xml:space="preserve"> J, </w:t>
      </w:r>
      <w:proofErr w:type="spellStart"/>
      <w:r w:rsidRPr="002D088E">
        <w:rPr>
          <w:rFonts w:ascii="Gill Sans MT" w:eastAsia="Times New Roman" w:hAnsi="Gill Sans MT" w:cs="Times New Roman"/>
          <w:bCs/>
          <w:sz w:val="22"/>
        </w:rPr>
        <w:t>Nakazibwe</w:t>
      </w:r>
      <w:proofErr w:type="spellEnd"/>
      <w:r w:rsidRPr="002D088E">
        <w:rPr>
          <w:rFonts w:ascii="Gill Sans MT" w:eastAsia="Times New Roman" w:hAnsi="Gill Sans MT" w:cs="Times New Roman"/>
          <w:bCs/>
          <w:sz w:val="22"/>
        </w:rPr>
        <w:t xml:space="preserve"> B, </w:t>
      </w:r>
      <w:proofErr w:type="spellStart"/>
      <w:r w:rsidRPr="002D088E">
        <w:rPr>
          <w:rFonts w:ascii="Gill Sans MT" w:eastAsia="Times New Roman" w:hAnsi="Gill Sans MT" w:cs="Times New Roman"/>
          <w:bCs/>
          <w:sz w:val="22"/>
        </w:rPr>
        <w:t>Mwanja</w:t>
      </w:r>
      <w:proofErr w:type="spellEnd"/>
      <w:r w:rsidRPr="002D088E">
        <w:rPr>
          <w:rFonts w:ascii="Gill Sans MT" w:eastAsia="Times New Roman" w:hAnsi="Gill Sans MT" w:cs="Times New Roman"/>
          <w:bCs/>
          <w:sz w:val="22"/>
        </w:rPr>
        <w:t xml:space="preserve"> S, </w:t>
      </w:r>
      <w:proofErr w:type="spellStart"/>
      <w:r w:rsidRPr="002D088E">
        <w:rPr>
          <w:rFonts w:ascii="Gill Sans MT" w:eastAsia="Times New Roman" w:hAnsi="Gill Sans MT" w:cs="Times New Roman"/>
          <w:bCs/>
          <w:sz w:val="22"/>
        </w:rPr>
        <w:t>Nabwana</w:t>
      </w:r>
      <w:proofErr w:type="spellEnd"/>
      <w:r w:rsidRPr="002D088E">
        <w:rPr>
          <w:rFonts w:ascii="Gill Sans MT" w:eastAsia="Times New Roman" w:hAnsi="Gill Sans MT" w:cs="Times New Roman"/>
          <w:bCs/>
          <w:sz w:val="22"/>
        </w:rPr>
        <w:t xml:space="preserve"> M, </w:t>
      </w:r>
      <w:proofErr w:type="spellStart"/>
      <w:r w:rsidRPr="002D088E">
        <w:rPr>
          <w:rFonts w:ascii="Gill Sans MT" w:eastAsia="Times New Roman" w:hAnsi="Gill Sans MT" w:cs="Times New Roman"/>
          <w:bCs/>
          <w:sz w:val="22"/>
        </w:rPr>
        <w:t>Mulwana</w:t>
      </w:r>
      <w:proofErr w:type="spellEnd"/>
      <w:r w:rsidRPr="002D088E">
        <w:rPr>
          <w:rFonts w:ascii="Gill Sans MT" w:eastAsia="Times New Roman" w:hAnsi="Gill Sans MT" w:cs="Times New Roman"/>
          <w:bCs/>
          <w:sz w:val="22"/>
        </w:rPr>
        <w:t xml:space="preserve"> R, et al. Survival and predictors of mortality after completion of TB treatment among people living with HIV. </w:t>
      </w:r>
      <w:proofErr w:type="spellStart"/>
      <w:r w:rsidRPr="002D088E">
        <w:rPr>
          <w:rFonts w:ascii="Gill Sans MT" w:eastAsia="Times New Roman" w:hAnsi="Gill Sans MT" w:cs="Times New Roman"/>
          <w:bCs/>
          <w:sz w:val="22"/>
        </w:rPr>
        <w:t>medRxiv</w:t>
      </w:r>
      <w:proofErr w:type="spellEnd"/>
      <w:r w:rsidRPr="002D088E">
        <w:rPr>
          <w:rFonts w:ascii="Gill Sans MT" w:eastAsia="Times New Roman" w:hAnsi="Gill Sans MT" w:cs="Times New Roman"/>
          <w:bCs/>
          <w:sz w:val="22"/>
        </w:rPr>
        <w:t>. 2022. https://doi.org/10.1101/2022.05.18.22275233</w:t>
      </w:r>
    </w:p>
    <w:p w14:paraId="74F6AC1D" w14:textId="77777777" w:rsidR="00DF355B" w:rsidRPr="002D088E" w:rsidRDefault="00DF355B" w:rsidP="002D088E">
      <w:pPr>
        <w:jc w:val="both"/>
        <w:rPr>
          <w:rFonts w:ascii="Gill Sans MT" w:hAnsi="Gill Sans MT"/>
          <w:bCs/>
          <w:sz w:val="22"/>
        </w:rPr>
      </w:pPr>
      <w:r w:rsidRPr="002D088E">
        <w:rPr>
          <w:rFonts w:ascii="Gill Sans MT" w:eastAsia="Times New Roman" w:hAnsi="Gill Sans MT" w:cs="Times New Roman"/>
          <w:bCs/>
          <w:sz w:val="22"/>
        </w:rPr>
        <w:t xml:space="preserve">3. Millet JP, </w:t>
      </w:r>
      <w:proofErr w:type="spellStart"/>
      <w:r w:rsidRPr="002D088E">
        <w:rPr>
          <w:rFonts w:ascii="Gill Sans MT" w:eastAsia="Times New Roman" w:hAnsi="Gill Sans MT" w:cs="Times New Roman"/>
          <w:bCs/>
          <w:sz w:val="22"/>
        </w:rPr>
        <w:t>Orcau</w:t>
      </w:r>
      <w:proofErr w:type="spellEnd"/>
      <w:r w:rsidRPr="002D088E">
        <w:rPr>
          <w:rFonts w:ascii="Gill Sans MT" w:eastAsia="Times New Roman" w:hAnsi="Gill Sans MT" w:cs="Times New Roman"/>
          <w:bCs/>
          <w:sz w:val="22"/>
        </w:rPr>
        <w:t xml:space="preserve"> A, Garcia de Olalla P, Casals M, </w:t>
      </w:r>
      <w:proofErr w:type="spellStart"/>
      <w:r w:rsidRPr="002D088E">
        <w:rPr>
          <w:rFonts w:ascii="Gill Sans MT" w:eastAsia="Times New Roman" w:hAnsi="Gill Sans MT" w:cs="Times New Roman"/>
          <w:bCs/>
          <w:sz w:val="22"/>
        </w:rPr>
        <w:t>Rius</w:t>
      </w:r>
      <w:proofErr w:type="spellEnd"/>
      <w:r w:rsidRPr="002D088E">
        <w:rPr>
          <w:rFonts w:ascii="Gill Sans MT" w:eastAsia="Times New Roman" w:hAnsi="Gill Sans MT" w:cs="Times New Roman"/>
          <w:bCs/>
          <w:sz w:val="22"/>
        </w:rPr>
        <w:t xml:space="preserve"> C, </w:t>
      </w:r>
      <w:proofErr w:type="spellStart"/>
      <w:r w:rsidRPr="002D088E">
        <w:rPr>
          <w:rFonts w:ascii="Gill Sans MT" w:eastAsia="Times New Roman" w:hAnsi="Gill Sans MT" w:cs="Times New Roman"/>
          <w:bCs/>
          <w:sz w:val="22"/>
        </w:rPr>
        <w:t>Caylà</w:t>
      </w:r>
      <w:proofErr w:type="spellEnd"/>
      <w:r w:rsidRPr="002D088E">
        <w:rPr>
          <w:rFonts w:ascii="Gill Sans MT" w:eastAsia="Times New Roman" w:hAnsi="Gill Sans MT" w:cs="Times New Roman"/>
          <w:bCs/>
          <w:sz w:val="22"/>
        </w:rPr>
        <w:t xml:space="preserve"> JA. Predictors of death among patients who completed tuberculosis treatment: a population-based cohort study. </w:t>
      </w:r>
      <w:proofErr w:type="spellStart"/>
      <w:r w:rsidRPr="002D088E">
        <w:rPr>
          <w:rFonts w:ascii="Gill Sans MT" w:eastAsia="Times New Roman" w:hAnsi="Gill Sans MT" w:cs="Times New Roman"/>
          <w:bCs/>
          <w:sz w:val="22"/>
        </w:rPr>
        <w:t>PLoS</w:t>
      </w:r>
      <w:proofErr w:type="spellEnd"/>
      <w:r w:rsidRPr="002D088E">
        <w:rPr>
          <w:rFonts w:ascii="Gill Sans MT" w:eastAsia="Times New Roman" w:hAnsi="Gill Sans MT" w:cs="Times New Roman"/>
          <w:bCs/>
          <w:sz w:val="22"/>
        </w:rPr>
        <w:t xml:space="preserve"> One. 2011;6(9</w:t>
      </w:r>
      <w:proofErr w:type="gramStart"/>
      <w:r w:rsidRPr="002D088E">
        <w:rPr>
          <w:rFonts w:ascii="Gill Sans MT" w:eastAsia="Times New Roman" w:hAnsi="Gill Sans MT" w:cs="Times New Roman"/>
          <w:bCs/>
          <w:sz w:val="22"/>
        </w:rPr>
        <w:t>):e</w:t>
      </w:r>
      <w:proofErr w:type="gramEnd"/>
      <w:r w:rsidRPr="002D088E">
        <w:rPr>
          <w:rFonts w:ascii="Gill Sans MT" w:eastAsia="Times New Roman" w:hAnsi="Gill Sans MT" w:cs="Times New Roman"/>
          <w:bCs/>
          <w:sz w:val="22"/>
        </w:rPr>
        <w:t>25315. https://doi.org/10.1371/journal.pone.0025315</w:t>
      </w:r>
    </w:p>
    <w:p w14:paraId="3635D9E9" w14:textId="77777777" w:rsidR="00DF355B" w:rsidRPr="002D088E" w:rsidRDefault="00DF355B" w:rsidP="002D088E">
      <w:pPr>
        <w:jc w:val="both"/>
        <w:rPr>
          <w:rFonts w:ascii="Gill Sans MT" w:hAnsi="Gill Sans MT"/>
          <w:bCs/>
          <w:sz w:val="22"/>
        </w:rPr>
      </w:pPr>
      <w:r w:rsidRPr="002D088E">
        <w:rPr>
          <w:rFonts w:ascii="Gill Sans MT" w:eastAsia="Times New Roman" w:hAnsi="Gill Sans MT" w:cs="Times New Roman"/>
          <w:bCs/>
          <w:sz w:val="22"/>
        </w:rPr>
        <w:t>4. Zheng Y, Zhong Y, Peng L, Luo Y, Xiao Y, Liang H, et al. Insufficient tuberculosis treatment leads to earlier and higher mortality in individuals co-infected with HIV in southern China: a cohort study. BMC Infect Dis. 2020;20(1):905.</w:t>
      </w:r>
      <w:r w:rsidRPr="002D088E">
        <w:rPr>
          <w:rFonts w:ascii="Gill Sans MT" w:hAnsi="Gill Sans MT"/>
          <w:bCs/>
          <w:sz w:val="22"/>
        </w:rPr>
        <w:t xml:space="preserve"> </w:t>
      </w:r>
      <w:r w:rsidRPr="002D088E">
        <w:rPr>
          <w:rFonts w:ascii="Gill Sans MT" w:eastAsia="Times New Roman" w:hAnsi="Gill Sans MT" w:cs="Times New Roman"/>
          <w:bCs/>
          <w:sz w:val="22"/>
        </w:rPr>
        <w:t>https://doi.org/10.1186/s12879-020-05527-0</w:t>
      </w:r>
    </w:p>
    <w:p w14:paraId="4AF57F68" w14:textId="77777777" w:rsidR="00DF355B" w:rsidRPr="002D088E" w:rsidRDefault="00DF355B" w:rsidP="002D088E">
      <w:pPr>
        <w:jc w:val="both"/>
        <w:rPr>
          <w:rFonts w:ascii="Gill Sans MT" w:hAnsi="Gill Sans MT"/>
          <w:bCs/>
          <w:sz w:val="22"/>
        </w:rPr>
      </w:pPr>
      <w:r w:rsidRPr="002D088E">
        <w:rPr>
          <w:rFonts w:ascii="Gill Sans MT" w:eastAsia="Times New Roman" w:hAnsi="Gill Sans MT" w:cs="Times New Roman"/>
          <w:bCs/>
          <w:sz w:val="22"/>
        </w:rPr>
        <w:lastRenderedPageBreak/>
        <w:t xml:space="preserve">5. Choi H, Yoo JE, Han K, Rhee SY, Lee H, Park SH, et al. Long-term mortality of post-tuberculous survivors in Korea: a population-based longitudinal study. </w:t>
      </w:r>
      <w:proofErr w:type="spellStart"/>
      <w:r w:rsidRPr="002D088E">
        <w:rPr>
          <w:rFonts w:ascii="Gill Sans MT" w:eastAsia="Times New Roman" w:hAnsi="Gill Sans MT" w:cs="Times New Roman"/>
          <w:bCs/>
          <w:sz w:val="22"/>
        </w:rPr>
        <w:t>Eur</w:t>
      </w:r>
      <w:proofErr w:type="spellEnd"/>
      <w:r w:rsidRPr="002D088E">
        <w:rPr>
          <w:rFonts w:ascii="Gill Sans MT" w:eastAsia="Times New Roman" w:hAnsi="Gill Sans MT" w:cs="Times New Roman"/>
          <w:bCs/>
          <w:sz w:val="22"/>
        </w:rPr>
        <w:t xml:space="preserve"> Respir J. 2022;60(Suppl 66):396. https://doi.org/10.1093/cid/ciac411</w:t>
      </w:r>
    </w:p>
    <w:p w14:paraId="4725A8B9" w14:textId="77777777" w:rsidR="00DF355B" w:rsidRPr="002D088E" w:rsidRDefault="00DF355B" w:rsidP="002D088E">
      <w:pPr>
        <w:jc w:val="both"/>
        <w:rPr>
          <w:rFonts w:ascii="Gill Sans MT" w:hAnsi="Gill Sans MT"/>
          <w:bCs/>
          <w:sz w:val="22"/>
        </w:rPr>
      </w:pPr>
      <w:r w:rsidRPr="002D088E">
        <w:rPr>
          <w:rFonts w:ascii="Gill Sans MT" w:eastAsia="Times New Roman" w:hAnsi="Gill Sans MT" w:cs="Times New Roman"/>
          <w:bCs/>
          <w:sz w:val="22"/>
        </w:rPr>
        <w:t xml:space="preserve">6. </w:t>
      </w:r>
      <w:proofErr w:type="spellStart"/>
      <w:r w:rsidRPr="002D088E">
        <w:rPr>
          <w:rFonts w:ascii="Gill Sans MT" w:eastAsia="Times New Roman" w:hAnsi="Gill Sans MT" w:cs="Times New Roman"/>
          <w:bCs/>
          <w:sz w:val="22"/>
        </w:rPr>
        <w:t>Moosazadeh</w:t>
      </w:r>
      <w:proofErr w:type="spellEnd"/>
      <w:r w:rsidRPr="002D088E">
        <w:rPr>
          <w:rFonts w:ascii="Gill Sans MT" w:eastAsia="Times New Roman" w:hAnsi="Gill Sans MT" w:cs="Times New Roman"/>
          <w:bCs/>
          <w:sz w:val="22"/>
        </w:rPr>
        <w:t xml:space="preserve"> M, </w:t>
      </w:r>
      <w:proofErr w:type="spellStart"/>
      <w:r w:rsidRPr="002D088E">
        <w:rPr>
          <w:rFonts w:ascii="Gill Sans MT" w:eastAsia="Times New Roman" w:hAnsi="Gill Sans MT" w:cs="Times New Roman"/>
          <w:bCs/>
          <w:sz w:val="22"/>
        </w:rPr>
        <w:t>Khanjani</w:t>
      </w:r>
      <w:proofErr w:type="spellEnd"/>
      <w:r w:rsidRPr="002D088E">
        <w:rPr>
          <w:rFonts w:ascii="Gill Sans MT" w:eastAsia="Times New Roman" w:hAnsi="Gill Sans MT" w:cs="Times New Roman"/>
          <w:bCs/>
          <w:sz w:val="22"/>
        </w:rPr>
        <w:t xml:space="preserve"> N, </w:t>
      </w:r>
      <w:proofErr w:type="spellStart"/>
      <w:r w:rsidRPr="002D088E">
        <w:rPr>
          <w:rFonts w:ascii="Gill Sans MT" w:eastAsia="Times New Roman" w:hAnsi="Gill Sans MT" w:cs="Times New Roman"/>
          <w:bCs/>
          <w:sz w:val="22"/>
        </w:rPr>
        <w:t>Bahrampour</w:t>
      </w:r>
      <w:proofErr w:type="spellEnd"/>
      <w:r w:rsidRPr="002D088E">
        <w:rPr>
          <w:rFonts w:ascii="Gill Sans MT" w:eastAsia="Times New Roman" w:hAnsi="Gill Sans MT" w:cs="Times New Roman"/>
          <w:bCs/>
          <w:sz w:val="22"/>
        </w:rPr>
        <w:t xml:space="preserve"> A, </w:t>
      </w:r>
      <w:proofErr w:type="spellStart"/>
      <w:r w:rsidRPr="002D088E">
        <w:rPr>
          <w:rFonts w:ascii="Gill Sans MT" w:eastAsia="Times New Roman" w:hAnsi="Gill Sans MT" w:cs="Times New Roman"/>
          <w:bCs/>
          <w:sz w:val="22"/>
        </w:rPr>
        <w:t>Nasehi</w:t>
      </w:r>
      <w:proofErr w:type="spellEnd"/>
      <w:r w:rsidRPr="002D088E">
        <w:rPr>
          <w:rFonts w:ascii="Gill Sans MT" w:eastAsia="Times New Roman" w:hAnsi="Gill Sans MT" w:cs="Times New Roman"/>
          <w:bCs/>
          <w:sz w:val="22"/>
        </w:rPr>
        <w:t xml:space="preserve"> M. Survival and predictors of death after successful treatment among smear positive tuberculosis: a cohort study. Int J Prev Med. 2014;5(8):1005-12.</w:t>
      </w:r>
    </w:p>
    <w:p w14:paraId="0AC6A949" w14:textId="77777777" w:rsidR="00DF355B" w:rsidRPr="002D088E" w:rsidRDefault="00DF355B" w:rsidP="002D088E">
      <w:pPr>
        <w:jc w:val="both"/>
        <w:rPr>
          <w:rFonts w:ascii="Gill Sans MT" w:hAnsi="Gill Sans MT"/>
          <w:bCs/>
          <w:sz w:val="22"/>
        </w:rPr>
      </w:pPr>
      <w:r w:rsidRPr="002D088E">
        <w:rPr>
          <w:rFonts w:ascii="Gill Sans MT" w:eastAsia="Times New Roman" w:hAnsi="Gill Sans MT" w:cs="Times New Roman"/>
          <w:bCs/>
          <w:sz w:val="22"/>
        </w:rPr>
        <w:t xml:space="preserve">7. </w:t>
      </w:r>
      <w:proofErr w:type="spellStart"/>
      <w:r w:rsidRPr="002D088E">
        <w:rPr>
          <w:rFonts w:ascii="Gill Sans MT" w:eastAsia="Times New Roman" w:hAnsi="Gill Sans MT" w:cs="Times New Roman"/>
          <w:bCs/>
          <w:sz w:val="22"/>
        </w:rPr>
        <w:t>Bongomin</w:t>
      </w:r>
      <w:proofErr w:type="spellEnd"/>
      <w:r w:rsidRPr="002D088E">
        <w:rPr>
          <w:rFonts w:ascii="Gill Sans MT" w:eastAsia="Times New Roman" w:hAnsi="Gill Sans MT" w:cs="Times New Roman"/>
          <w:bCs/>
          <w:sz w:val="22"/>
        </w:rPr>
        <w:t xml:space="preserve"> F, </w:t>
      </w:r>
      <w:proofErr w:type="spellStart"/>
      <w:r w:rsidRPr="002D088E">
        <w:rPr>
          <w:rFonts w:ascii="Gill Sans MT" w:eastAsia="Times New Roman" w:hAnsi="Gill Sans MT" w:cs="Times New Roman"/>
          <w:bCs/>
          <w:sz w:val="22"/>
        </w:rPr>
        <w:t>Olum</w:t>
      </w:r>
      <w:proofErr w:type="spellEnd"/>
      <w:r w:rsidRPr="002D088E">
        <w:rPr>
          <w:rFonts w:ascii="Gill Sans MT" w:eastAsia="Times New Roman" w:hAnsi="Gill Sans MT" w:cs="Times New Roman"/>
          <w:bCs/>
          <w:sz w:val="22"/>
        </w:rPr>
        <w:t xml:space="preserve"> R, Nsenga L, </w:t>
      </w:r>
      <w:proofErr w:type="spellStart"/>
      <w:r w:rsidRPr="002D088E">
        <w:rPr>
          <w:rFonts w:ascii="Gill Sans MT" w:eastAsia="Times New Roman" w:hAnsi="Gill Sans MT" w:cs="Times New Roman"/>
          <w:bCs/>
          <w:sz w:val="22"/>
        </w:rPr>
        <w:t>Namusobya</w:t>
      </w:r>
      <w:proofErr w:type="spellEnd"/>
      <w:r w:rsidRPr="002D088E">
        <w:rPr>
          <w:rFonts w:ascii="Gill Sans MT" w:eastAsia="Times New Roman" w:hAnsi="Gill Sans MT" w:cs="Times New Roman"/>
          <w:bCs/>
          <w:sz w:val="22"/>
        </w:rPr>
        <w:t xml:space="preserve"> M, </w:t>
      </w:r>
      <w:proofErr w:type="spellStart"/>
      <w:r w:rsidRPr="002D088E">
        <w:rPr>
          <w:rFonts w:ascii="Gill Sans MT" w:eastAsia="Times New Roman" w:hAnsi="Gill Sans MT" w:cs="Times New Roman"/>
          <w:bCs/>
          <w:sz w:val="22"/>
        </w:rPr>
        <w:t>Nakiyingi</w:t>
      </w:r>
      <w:proofErr w:type="spellEnd"/>
      <w:r w:rsidRPr="002D088E">
        <w:rPr>
          <w:rFonts w:ascii="Gill Sans MT" w:eastAsia="Times New Roman" w:hAnsi="Gill Sans MT" w:cs="Times New Roman"/>
          <w:bCs/>
          <w:sz w:val="22"/>
        </w:rPr>
        <w:t xml:space="preserve"> L, </w:t>
      </w:r>
      <w:proofErr w:type="spellStart"/>
      <w:r w:rsidRPr="002D088E">
        <w:rPr>
          <w:rFonts w:ascii="Gill Sans MT" w:eastAsia="Times New Roman" w:hAnsi="Gill Sans MT" w:cs="Times New Roman"/>
          <w:bCs/>
          <w:sz w:val="22"/>
        </w:rPr>
        <w:t>Mukisa</w:t>
      </w:r>
      <w:proofErr w:type="spellEnd"/>
      <w:r w:rsidRPr="002D088E">
        <w:rPr>
          <w:rFonts w:ascii="Gill Sans MT" w:eastAsia="Times New Roman" w:hAnsi="Gill Sans MT" w:cs="Times New Roman"/>
          <w:bCs/>
          <w:sz w:val="22"/>
        </w:rPr>
        <w:t xml:space="preserve"> J, et al. Mortality hazards after treatment completion of pulmonary tuberculosis in a tertiary hospital in Uganda. IJID Reg. </w:t>
      </w:r>
      <w:proofErr w:type="gramStart"/>
      <w:r w:rsidRPr="002D088E">
        <w:rPr>
          <w:rFonts w:ascii="Gill Sans MT" w:eastAsia="Times New Roman" w:hAnsi="Gill Sans MT" w:cs="Times New Roman"/>
          <w:bCs/>
          <w:sz w:val="22"/>
        </w:rPr>
        <w:t>2025;17:100758</w:t>
      </w:r>
      <w:proofErr w:type="gramEnd"/>
      <w:r w:rsidRPr="002D088E">
        <w:rPr>
          <w:rFonts w:ascii="Gill Sans MT" w:eastAsia="Times New Roman" w:hAnsi="Gill Sans MT" w:cs="Times New Roman"/>
          <w:bCs/>
          <w:sz w:val="22"/>
        </w:rPr>
        <w:t>. https://doi.org/10.1016/j.ijregi.2025.100758.</w:t>
      </w:r>
    </w:p>
    <w:p w14:paraId="02591477" w14:textId="77777777" w:rsidR="00DF355B" w:rsidRPr="002D088E" w:rsidRDefault="00DF355B" w:rsidP="002D088E">
      <w:pPr>
        <w:jc w:val="both"/>
        <w:rPr>
          <w:rFonts w:ascii="Gill Sans MT" w:hAnsi="Gill Sans MT"/>
          <w:bCs/>
          <w:sz w:val="22"/>
        </w:rPr>
      </w:pPr>
      <w:r w:rsidRPr="002D088E">
        <w:rPr>
          <w:rFonts w:ascii="Gill Sans MT" w:eastAsia="Times New Roman" w:hAnsi="Gill Sans MT" w:cs="Times New Roman"/>
          <w:bCs/>
          <w:sz w:val="22"/>
        </w:rPr>
        <w:t xml:space="preserve">8. Wang Y, Li X, Liu S, Wang X, Zhang Y, Chen Y. Survival and associated mortality risk factors among post-treatment pulmonary tuberculosis patients in the northwest of China. </w:t>
      </w:r>
      <w:proofErr w:type="spellStart"/>
      <w:r w:rsidRPr="002D088E">
        <w:rPr>
          <w:rFonts w:ascii="Gill Sans MT" w:eastAsia="Times New Roman" w:hAnsi="Gill Sans MT" w:cs="Times New Roman"/>
          <w:bCs/>
          <w:sz w:val="22"/>
        </w:rPr>
        <w:t>Eur</w:t>
      </w:r>
      <w:proofErr w:type="spellEnd"/>
      <w:r w:rsidRPr="002D088E">
        <w:rPr>
          <w:rFonts w:ascii="Gill Sans MT" w:eastAsia="Times New Roman" w:hAnsi="Gill Sans MT" w:cs="Times New Roman"/>
          <w:bCs/>
          <w:sz w:val="22"/>
        </w:rPr>
        <w:t xml:space="preserve"> Rev Med </w:t>
      </w:r>
      <w:proofErr w:type="spellStart"/>
      <w:r w:rsidRPr="002D088E">
        <w:rPr>
          <w:rFonts w:ascii="Gill Sans MT" w:eastAsia="Times New Roman" w:hAnsi="Gill Sans MT" w:cs="Times New Roman"/>
          <w:bCs/>
          <w:sz w:val="22"/>
        </w:rPr>
        <w:t>Pharmacol</w:t>
      </w:r>
      <w:proofErr w:type="spellEnd"/>
      <w:r w:rsidRPr="002D088E">
        <w:rPr>
          <w:rFonts w:ascii="Gill Sans MT" w:eastAsia="Times New Roman" w:hAnsi="Gill Sans MT" w:cs="Times New Roman"/>
          <w:bCs/>
          <w:sz w:val="22"/>
        </w:rPr>
        <w:t xml:space="preserve"> Sci. 2015;19(11):2016-2025.</w:t>
      </w:r>
    </w:p>
    <w:p w14:paraId="2E72BC86" w14:textId="77777777" w:rsidR="00DF355B" w:rsidRPr="002D088E" w:rsidRDefault="00DF355B" w:rsidP="002D088E">
      <w:pPr>
        <w:jc w:val="both"/>
        <w:rPr>
          <w:rFonts w:ascii="Gill Sans MT" w:hAnsi="Gill Sans MT"/>
          <w:bCs/>
          <w:sz w:val="22"/>
        </w:rPr>
      </w:pPr>
      <w:r w:rsidRPr="002D088E">
        <w:rPr>
          <w:rFonts w:ascii="Gill Sans MT" w:eastAsia="Times New Roman" w:hAnsi="Gill Sans MT" w:cs="Times New Roman"/>
          <w:bCs/>
          <w:sz w:val="22"/>
        </w:rPr>
        <w:t xml:space="preserve">9. Yeo YH. Post-tuberculosis lung diseases: a nationwide population-based cohort study in Korea. (Doctoral dissertation, </w:t>
      </w:r>
      <w:proofErr w:type="spellStart"/>
      <w:r w:rsidRPr="002D088E">
        <w:rPr>
          <w:rFonts w:ascii="Gill Sans MT" w:eastAsia="Batang" w:hAnsi="Gill Sans MT" w:cs="Batang"/>
          <w:bCs/>
          <w:sz w:val="22"/>
        </w:rPr>
        <w:t>서울대학교</w:t>
      </w:r>
      <w:proofErr w:type="spellEnd"/>
      <w:r w:rsidRPr="002D088E">
        <w:rPr>
          <w:rFonts w:ascii="Gill Sans MT" w:eastAsia="Times New Roman" w:hAnsi="Gill Sans MT" w:cs="Times New Roman"/>
          <w:bCs/>
          <w:sz w:val="22"/>
        </w:rPr>
        <w:t xml:space="preserve"> </w:t>
      </w:r>
      <w:proofErr w:type="spellStart"/>
      <w:r w:rsidRPr="002D088E">
        <w:rPr>
          <w:rFonts w:ascii="Gill Sans MT" w:eastAsia="Batang" w:hAnsi="Gill Sans MT" w:cs="Batang"/>
          <w:bCs/>
          <w:sz w:val="22"/>
        </w:rPr>
        <w:t>대학원</w:t>
      </w:r>
      <w:proofErr w:type="spellEnd"/>
      <w:r w:rsidRPr="002D088E">
        <w:rPr>
          <w:rFonts w:ascii="Gill Sans MT" w:eastAsia="Times New Roman" w:hAnsi="Gill Sans MT" w:cs="Times New Roman"/>
          <w:bCs/>
          <w:sz w:val="22"/>
        </w:rPr>
        <w:t xml:space="preserve">). </w:t>
      </w:r>
      <w:r w:rsidRPr="002D088E">
        <w:rPr>
          <w:rStyle w:val="Strong"/>
          <w:rFonts w:ascii="Gill Sans MT" w:hAnsi="Gill Sans MT" w:cs="Arial"/>
          <w:b w:val="0"/>
          <w:color w:val="001D35"/>
          <w:sz w:val="22"/>
          <w:shd w:val="clear" w:color="auto" w:fill="FFFFFF"/>
        </w:rPr>
        <w:t>Available from: https://s-space.snu.ac.kr/handle/10371/229080</w:t>
      </w:r>
    </w:p>
    <w:p w14:paraId="02B7295E" w14:textId="77777777" w:rsidR="00DF355B" w:rsidRPr="002D088E" w:rsidRDefault="00DF355B" w:rsidP="002D088E">
      <w:pPr>
        <w:jc w:val="both"/>
        <w:rPr>
          <w:rFonts w:ascii="Gill Sans MT" w:hAnsi="Gill Sans MT"/>
          <w:bCs/>
          <w:sz w:val="22"/>
        </w:rPr>
      </w:pPr>
      <w:r w:rsidRPr="002D088E">
        <w:rPr>
          <w:rFonts w:ascii="Gill Sans MT" w:eastAsia="Times New Roman" w:hAnsi="Gill Sans MT" w:cs="Times New Roman"/>
          <w:bCs/>
          <w:sz w:val="22"/>
        </w:rPr>
        <w:t xml:space="preserve">10. </w:t>
      </w:r>
      <w:proofErr w:type="spellStart"/>
      <w:r w:rsidRPr="002D088E">
        <w:rPr>
          <w:rFonts w:ascii="Gill Sans MT" w:eastAsia="Times New Roman" w:hAnsi="Gill Sans MT" w:cs="Times New Roman"/>
          <w:bCs/>
          <w:sz w:val="22"/>
        </w:rPr>
        <w:t>Bongomin</w:t>
      </w:r>
      <w:proofErr w:type="spellEnd"/>
      <w:r w:rsidRPr="002D088E">
        <w:rPr>
          <w:rFonts w:ascii="Gill Sans MT" w:eastAsia="Times New Roman" w:hAnsi="Gill Sans MT" w:cs="Times New Roman"/>
          <w:bCs/>
          <w:sz w:val="22"/>
        </w:rPr>
        <w:t xml:space="preserve"> F, </w:t>
      </w:r>
      <w:proofErr w:type="spellStart"/>
      <w:r w:rsidRPr="002D088E">
        <w:rPr>
          <w:rFonts w:ascii="Gill Sans MT" w:eastAsia="Times New Roman" w:hAnsi="Gill Sans MT" w:cs="Times New Roman"/>
          <w:bCs/>
          <w:sz w:val="22"/>
        </w:rPr>
        <w:t>Olum</w:t>
      </w:r>
      <w:proofErr w:type="spellEnd"/>
      <w:r w:rsidRPr="002D088E">
        <w:rPr>
          <w:rFonts w:ascii="Gill Sans MT" w:eastAsia="Times New Roman" w:hAnsi="Gill Sans MT" w:cs="Times New Roman"/>
          <w:bCs/>
          <w:sz w:val="22"/>
        </w:rPr>
        <w:t xml:space="preserve"> R, Nsenga L, </w:t>
      </w:r>
      <w:proofErr w:type="spellStart"/>
      <w:r w:rsidRPr="002D088E">
        <w:rPr>
          <w:rFonts w:ascii="Gill Sans MT" w:eastAsia="Times New Roman" w:hAnsi="Gill Sans MT" w:cs="Times New Roman"/>
          <w:bCs/>
          <w:sz w:val="22"/>
        </w:rPr>
        <w:t>Namusobya</w:t>
      </w:r>
      <w:proofErr w:type="spellEnd"/>
      <w:r w:rsidRPr="002D088E">
        <w:rPr>
          <w:rFonts w:ascii="Gill Sans MT" w:eastAsia="Times New Roman" w:hAnsi="Gill Sans MT" w:cs="Times New Roman"/>
          <w:bCs/>
          <w:sz w:val="22"/>
        </w:rPr>
        <w:t xml:space="preserve"> M, </w:t>
      </w:r>
      <w:proofErr w:type="spellStart"/>
      <w:r w:rsidRPr="002D088E">
        <w:rPr>
          <w:rFonts w:ascii="Gill Sans MT" w:eastAsia="Times New Roman" w:hAnsi="Gill Sans MT" w:cs="Times New Roman"/>
          <w:bCs/>
          <w:sz w:val="22"/>
        </w:rPr>
        <w:t>Nakiyingi</w:t>
      </w:r>
      <w:proofErr w:type="spellEnd"/>
      <w:r w:rsidRPr="002D088E">
        <w:rPr>
          <w:rFonts w:ascii="Gill Sans MT" w:eastAsia="Times New Roman" w:hAnsi="Gill Sans MT" w:cs="Times New Roman"/>
          <w:bCs/>
          <w:sz w:val="22"/>
        </w:rPr>
        <w:t xml:space="preserve"> L, </w:t>
      </w:r>
      <w:proofErr w:type="spellStart"/>
      <w:r w:rsidRPr="002D088E">
        <w:rPr>
          <w:rFonts w:ascii="Gill Sans MT" w:eastAsia="Times New Roman" w:hAnsi="Gill Sans MT" w:cs="Times New Roman"/>
          <w:bCs/>
          <w:sz w:val="22"/>
        </w:rPr>
        <w:t>Mukisa</w:t>
      </w:r>
      <w:proofErr w:type="spellEnd"/>
      <w:r w:rsidRPr="002D088E">
        <w:rPr>
          <w:rFonts w:ascii="Gill Sans MT" w:eastAsia="Times New Roman" w:hAnsi="Gill Sans MT" w:cs="Times New Roman"/>
          <w:bCs/>
          <w:sz w:val="22"/>
        </w:rPr>
        <w:t xml:space="preserve"> J, et al. Mortality hazards after treatment completion of pulmonary tuberculosis in a tertiary hospital in Uganda. IJID Reg. </w:t>
      </w:r>
      <w:proofErr w:type="gramStart"/>
      <w:r w:rsidRPr="002D088E">
        <w:rPr>
          <w:rFonts w:ascii="Gill Sans MT" w:eastAsia="Times New Roman" w:hAnsi="Gill Sans MT" w:cs="Times New Roman"/>
          <w:bCs/>
          <w:sz w:val="22"/>
        </w:rPr>
        <w:t>2025;14:100758</w:t>
      </w:r>
      <w:proofErr w:type="gramEnd"/>
      <w:r w:rsidRPr="002D088E">
        <w:rPr>
          <w:rFonts w:ascii="Gill Sans MT" w:eastAsia="Times New Roman" w:hAnsi="Gill Sans MT" w:cs="Times New Roman"/>
          <w:bCs/>
          <w:sz w:val="22"/>
        </w:rPr>
        <w:t>.</w:t>
      </w:r>
    </w:p>
    <w:p w14:paraId="47BAA69B" w14:textId="77777777" w:rsidR="00DF355B" w:rsidRPr="002D088E" w:rsidRDefault="00DF355B" w:rsidP="002D088E">
      <w:pPr>
        <w:jc w:val="both"/>
        <w:rPr>
          <w:rFonts w:ascii="Gill Sans MT" w:hAnsi="Gill Sans MT"/>
          <w:bCs/>
          <w:sz w:val="22"/>
        </w:rPr>
      </w:pPr>
      <w:r w:rsidRPr="002D088E">
        <w:rPr>
          <w:rFonts w:ascii="Gill Sans MT" w:eastAsia="Times New Roman" w:hAnsi="Gill Sans MT" w:cs="Times New Roman"/>
          <w:bCs/>
          <w:sz w:val="22"/>
        </w:rPr>
        <w:t xml:space="preserve">11. </w:t>
      </w:r>
      <w:r w:rsidRPr="002D088E">
        <w:rPr>
          <w:rFonts w:ascii="Gill Sans MT" w:hAnsi="Gill Sans MT" w:cs="Segoe UI"/>
          <w:bCs/>
          <w:color w:val="212121"/>
          <w:sz w:val="22"/>
          <w:shd w:val="clear" w:color="auto" w:fill="FFFFFF"/>
        </w:rPr>
        <w:t xml:space="preserve">Kim S, </w:t>
      </w:r>
      <w:proofErr w:type="spellStart"/>
      <w:r w:rsidRPr="002D088E">
        <w:rPr>
          <w:rFonts w:ascii="Gill Sans MT" w:hAnsi="Gill Sans MT" w:cs="Segoe UI"/>
          <w:bCs/>
          <w:color w:val="212121"/>
          <w:sz w:val="22"/>
          <w:shd w:val="clear" w:color="auto" w:fill="FFFFFF"/>
        </w:rPr>
        <w:t>Pelissari</w:t>
      </w:r>
      <w:proofErr w:type="spellEnd"/>
      <w:r w:rsidRPr="002D088E">
        <w:rPr>
          <w:rFonts w:ascii="Gill Sans MT" w:hAnsi="Gill Sans MT" w:cs="Segoe UI"/>
          <w:bCs/>
          <w:color w:val="212121"/>
          <w:sz w:val="22"/>
          <w:shd w:val="clear" w:color="auto" w:fill="FFFFFF"/>
        </w:rPr>
        <w:t xml:space="preserve"> DM, Harada LO, et al. Long-term Mortality Trends Among Individuals </w:t>
      </w:r>
      <w:proofErr w:type="gramStart"/>
      <w:r w:rsidRPr="002D088E">
        <w:rPr>
          <w:rFonts w:ascii="Gill Sans MT" w:hAnsi="Gill Sans MT" w:cs="Segoe UI"/>
          <w:bCs/>
          <w:color w:val="212121"/>
          <w:sz w:val="22"/>
          <w:shd w:val="clear" w:color="auto" w:fill="FFFFFF"/>
        </w:rPr>
        <w:t>With</w:t>
      </w:r>
      <w:proofErr w:type="gramEnd"/>
      <w:r w:rsidRPr="002D088E">
        <w:rPr>
          <w:rFonts w:ascii="Gill Sans MT" w:hAnsi="Gill Sans MT" w:cs="Segoe UI"/>
          <w:bCs/>
          <w:color w:val="212121"/>
          <w:sz w:val="22"/>
          <w:shd w:val="clear" w:color="auto" w:fill="FFFFFF"/>
        </w:rPr>
        <w:t xml:space="preserve"> Tuberculosis: A Retrospective Cohort Study of Individuals Diagnosed With Tuberculosis in Brazil. </w:t>
      </w:r>
      <w:r w:rsidRPr="002D088E">
        <w:rPr>
          <w:rFonts w:ascii="Gill Sans MT" w:hAnsi="Gill Sans MT" w:cs="Segoe UI"/>
          <w:bCs/>
          <w:i/>
          <w:iCs/>
          <w:color w:val="212121"/>
          <w:sz w:val="22"/>
          <w:shd w:val="clear" w:color="auto" w:fill="FFFFFF"/>
        </w:rPr>
        <w:t>Clin Infect Dis</w:t>
      </w:r>
      <w:r w:rsidRPr="002D088E">
        <w:rPr>
          <w:rFonts w:ascii="Gill Sans MT" w:hAnsi="Gill Sans MT" w:cs="Segoe UI"/>
          <w:bCs/>
          <w:color w:val="212121"/>
          <w:sz w:val="22"/>
          <w:shd w:val="clear" w:color="auto" w:fill="FFFFFF"/>
        </w:rPr>
        <w:t>. 2026;82(1</w:t>
      </w:r>
      <w:proofErr w:type="gramStart"/>
      <w:r w:rsidRPr="002D088E">
        <w:rPr>
          <w:rFonts w:ascii="Gill Sans MT" w:hAnsi="Gill Sans MT" w:cs="Segoe UI"/>
          <w:bCs/>
          <w:color w:val="212121"/>
          <w:sz w:val="22"/>
          <w:shd w:val="clear" w:color="auto" w:fill="FFFFFF"/>
        </w:rPr>
        <w:t>):e</w:t>
      </w:r>
      <w:proofErr w:type="gramEnd"/>
      <w:r w:rsidRPr="002D088E">
        <w:rPr>
          <w:rFonts w:ascii="Gill Sans MT" w:hAnsi="Gill Sans MT" w:cs="Segoe UI"/>
          <w:bCs/>
          <w:color w:val="212121"/>
          <w:sz w:val="22"/>
          <w:shd w:val="clear" w:color="auto" w:fill="FFFFFF"/>
        </w:rPr>
        <w:t>1-e8. doi:10.1093/</w:t>
      </w:r>
      <w:proofErr w:type="spellStart"/>
      <w:r w:rsidRPr="002D088E">
        <w:rPr>
          <w:rFonts w:ascii="Gill Sans MT" w:hAnsi="Gill Sans MT" w:cs="Segoe UI"/>
          <w:bCs/>
          <w:color w:val="212121"/>
          <w:sz w:val="22"/>
          <w:shd w:val="clear" w:color="auto" w:fill="FFFFFF"/>
        </w:rPr>
        <w:t>cid</w:t>
      </w:r>
      <w:proofErr w:type="spellEnd"/>
      <w:r w:rsidRPr="002D088E">
        <w:rPr>
          <w:rFonts w:ascii="Gill Sans MT" w:hAnsi="Gill Sans MT" w:cs="Segoe UI"/>
          <w:bCs/>
          <w:color w:val="212121"/>
          <w:sz w:val="22"/>
          <w:shd w:val="clear" w:color="auto" w:fill="FFFFFF"/>
        </w:rPr>
        <w:t xml:space="preserve">/ciaf206. </w:t>
      </w:r>
      <w:r w:rsidRPr="002D088E">
        <w:rPr>
          <w:rFonts w:ascii="Gill Sans MT" w:eastAsia="Times New Roman" w:hAnsi="Gill Sans MT" w:cs="Times New Roman"/>
          <w:bCs/>
          <w:sz w:val="22"/>
        </w:rPr>
        <w:t>https://doi.org/10.1093/cid/ciaf206</w:t>
      </w:r>
    </w:p>
    <w:p w14:paraId="5E966FA3" w14:textId="77777777" w:rsidR="00DF355B" w:rsidRPr="002D088E" w:rsidRDefault="00DF355B" w:rsidP="002D088E">
      <w:pPr>
        <w:jc w:val="both"/>
        <w:rPr>
          <w:rFonts w:ascii="Gill Sans MT" w:eastAsia="Times New Roman" w:hAnsi="Gill Sans MT" w:cs="Times New Roman"/>
          <w:bCs/>
          <w:sz w:val="22"/>
        </w:rPr>
      </w:pPr>
      <w:r w:rsidRPr="002D088E">
        <w:rPr>
          <w:rFonts w:ascii="Gill Sans MT" w:eastAsia="Times New Roman" w:hAnsi="Gill Sans MT" w:cs="Times New Roman"/>
          <w:bCs/>
          <w:sz w:val="22"/>
        </w:rPr>
        <w:t xml:space="preserve">12. </w:t>
      </w:r>
      <w:proofErr w:type="spellStart"/>
      <w:r w:rsidRPr="002D088E">
        <w:rPr>
          <w:rFonts w:ascii="Gill Sans MT" w:eastAsia="Times New Roman" w:hAnsi="Gill Sans MT" w:cs="Times New Roman"/>
          <w:bCs/>
          <w:sz w:val="22"/>
        </w:rPr>
        <w:t>Cerqueira</w:t>
      </w:r>
      <w:proofErr w:type="spellEnd"/>
      <w:r w:rsidRPr="002D088E">
        <w:rPr>
          <w:rFonts w:ascii="Gill Sans MT" w:eastAsia="Times New Roman" w:hAnsi="Gill Sans MT" w:cs="Times New Roman"/>
          <w:bCs/>
          <w:sz w:val="22"/>
        </w:rPr>
        <w:t xml:space="preserve">-Silva T, </w:t>
      </w:r>
      <w:proofErr w:type="spellStart"/>
      <w:r w:rsidRPr="002D088E">
        <w:rPr>
          <w:rFonts w:ascii="Gill Sans MT" w:eastAsia="Times New Roman" w:hAnsi="Gill Sans MT" w:cs="Times New Roman"/>
          <w:bCs/>
          <w:sz w:val="22"/>
        </w:rPr>
        <w:t>Pescarini</w:t>
      </w:r>
      <w:proofErr w:type="spellEnd"/>
      <w:r w:rsidRPr="002D088E">
        <w:rPr>
          <w:rFonts w:ascii="Gill Sans MT" w:eastAsia="Times New Roman" w:hAnsi="Gill Sans MT" w:cs="Times New Roman"/>
          <w:bCs/>
          <w:sz w:val="22"/>
        </w:rPr>
        <w:t xml:space="preserve"> JM, Sanchez MN, Penna MLF, Ichihara MY, Barreto ML, et al. Long-term risk of death after tuberculosis diagnosis and treatment.</w:t>
      </w:r>
      <w:r w:rsidRPr="002D088E">
        <w:rPr>
          <w:rFonts w:ascii="Gill Sans MT" w:hAnsi="Gill Sans MT" w:cs="Segoe UI"/>
          <w:bCs/>
          <w:i/>
          <w:iCs/>
          <w:color w:val="222222"/>
          <w:sz w:val="22"/>
          <w:shd w:val="clear" w:color="auto" w:fill="FFFFFF"/>
        </w:rPr>
        <w:t xml:space="preserve"> Nat Med</w:t>
      </w:r>
      <w:r w:rsidRPr="002D088E">
        <w:rPr>
          <w:rFonts w:ascii="Gill Sans MT" w:hAnsi="Gill Sans MT" w:cs="Segoe UI"/>
          <w:bCs/>
          <w:color w:val="222222"/>
          <w:sz w:val="22"/>
          <w:shd w:val="clear" w:color="auto" w:fill="FFFFFF"/>
        </w:rPr>
        <w:t>. 2026.</w:t>
      </w:r>
      <w:r w:rsidRPr="002D088E">
        <w:rPr>
          <w:rFonts w:ascii="Gill Sans MT" w:eastAsia="Times New Roman" w:hAnsi="Gill Sans MT" w:cs="Times New Roman"/>
          <w:bCs/>
          <w:sz w:val="22"/>
        </w:rPr>
        <w:t xml:space="preserve"> </w:t>
      </w:r>
      <w:r w:rsidRPr="002D088E">
        <w:rPr>
          <w:rFonts w:ascii="Gill Sans MT" w:hAnsi="Gill Sans MT" w:cs="Segoe UI"/>
          <w:bCs/>
          <w:color w:val="222222"/>
          <w:sz w:val="22"/>
          <w:shd w:val="clear" w:color="auto" w:fill="FFFFFF"/>
        </w:rPr>
        <w:t>https://doi.org/10.1038/s41591-026-04294-w</w:t>
      </w:r>
      <w:r w:rsidRPr="002D088E">
        <w:rPr>
          <w:rFonts w:ascii="Gill Sans MT" w:eastAsia="Times New Roman" w:hAnsi="Gill Sans MT" w:cs="Times New Roman"/>
          <w:bCs/>
          <w:sz w:val="22"/>
        </w:rPr>
        <w:t xml:space="preserve"> </w:t>
      </w:r>
    </w:p>
    <w:p w14:paraId="4C459D33" w14:textId="77777777" w:rsidR="00DF355B" w:rsidRPr="002D088E" w:rsidRDefault="00DF355B" w:rsidP="002D088E">
      <w:pPr>
        <w:jc w:val="both"/>
        <w:rPr>
          <w:rFonts w:ascii="Gill Sans MT" w:hAnsi="Gill Sans MT"/>
          <w:bCs/>
          <w:sz w:val="22"/>
        </w:rPr>
      </w:pPr>
      <w:r w:rsidRPr="002D088E">
        <w:rPr>
          <w:rFonts w:ascii="Gill Sans MT" w:eastAsia="Times New Roman" w:hAnsi="Gill Sans MT" w:cs="Times New Roman"/>
          <w:bCs/>
          <w:sz w:val="22"/>
        </w:rPr>
        <w:t xml:space="preserve">13. </w:t>
      </w:r>
      <w:proofErr w:type="spellStart"/>
      <w:r w:rsidRPr="002D088E">
        <w:rPr>
          <w:rFonts w:ascii="Gill Sans MT" w:eastAsia="Times New Roman" w:hAnsi="Gill Sans MT" w:cs="Times New Roman"/>
          <w:bCs/>
          <w:sz w:val="22"/>
        </w:rPr>
        <w:t>Lumu</w:t>
      </w:r>
      <w:proofErr w:type="spellEnd"/>
      <w:r w:rsidRPr="002D088E">
        <w:rPr>
          <w:rFonts w:ascii="Gill Sans MT" w:eastAsia="Times New Roman" w:hAnsi="Gill Sans MT" w:cs="Times New Roman"/>
          <w:bCs/>
          <w:sz w:val="22"/>
        </w:rPr>
        <w:t xml:space="preserve"> I, </w:t>
      </w:r>
      <w:proofErr w:type="spellStart"/>
      <w:r w:rsidRPr="002D088E">
        <w:rPr>
          <w:rFonts w:ascii="Gill Sans MT" w:eastAsia="Times New Roman" w:hAnsi="Gill Sans MT" w:cs="Times New Roman"/>
          <w:bCs/>
          <w:sz w:val="22"/>
        </w:rPr>
        <w:t>Naloka</w:t>
      </w:r>
      <w:proofErr w:type="spellEnd"/>
      <w:r w:rsidRPr="002D088E">
        <w:rPr>
          <w:rFonts w:ascii="Gill Sans MT" w:eastAsia="Times New Roman" w:hAnsi="Gill Sans MT" w:cs="Times New Roman"/>
          <w:bCs/>
          <w:sz w:val="22"/>
        </w:rPr>
        <w:t xml:space="preserve"> J, </w:t>
      </w:r>
      <w:proofErr w:type="spellStart"/>
      <w:r w:rsidRPr="002D088E">
        <w:rPr>
          <w:rFonts w:ascii="Gill Sans MT" w:eastAsia="Times New Roman" w:hAnsi="Gill Sans MT" w:cs="Times New Roman"/>
          <w:bCs/>
          <w:sz w:val="22"/>
        </w:rPr>
        <w:t>Nakazibwe</w:t>
      </w:r>
      <w:proofErr w:type="spellEnd"/>
      <w:r w:rsidRPr="002D088E">
        <w:rPr>
          <w:rFonts w:ascii="Gill Sans MT" w:eastAsia="Times New Roman" w:hAnsi="Gill Sans MT" w:cs="Times New Roman"/>
          <w:bCs/>
          <w:sz w:val="22"/>
        </w:rPr>
        <w:t xml:space="preserve"> B, </w:t>
      </w:r>
      <w:proofErr w:type="spellStart"/>
      <w:r w:rsidRPr="002D088E">
        <w:rPr>
          <w:rFonts w:ascii="Gill Sans MT" w:eastAsia="Times New Roman" w:hAnsi="Gill Sans MT" w:cs="Times New Roman"/>
          <w:bCs/>
          <w:sz w:val="22"/>
        </w:rPr>
        <w:t>Mwanja</w:t>
      </w:r>
      <w:proofErr w:type="spellEnd"/>
      <w:r w:rsidRPr="002D088E">
        <w:rPr>
          <w:rFonts w:ascii="Gill Sans MT" w:eastAsia="Times New Roman" w:hAnsi="Gill Sans MT" w:cs="Times New Roman"/>
          <w:bCs/>
          <w:sz w:val="22"/>
        </w:rPr>
        <w:t xml:space="preserve"> S, </w:t>
      </w:r>
      <w:proofErr w:type="spellStart"/>
      <w:r w:rsidRPr="002D088E">
        <w:rPr>
          <w:rFonts w:ascii="Gill Sans MT" w:eastAsia="Times New Roman" w:hAnsi="Gill Sans MT" w:cs="Times New Roman"/>
          <w:bCs/>
          <w:sz w:val="22"/>
        </w:rPr>
        <w:t>Nabwana</w:t>
      </w:r>
      <w:proofErr w:type="spellEnd"/>
      <w:r w:rsidRPr="002D088E">
        <w:rPr>
          <w:rFonts w:ascii="Gill Sans MT" w:eastAsia="Times New Roman" w:hAnsi="Gill Sans MT" w:cs="Times New Roman"/>
          <w:bCs/>
          <w:sz w:val="22"/>
        </w:rPr>
        <w:t xml:space="preserve"> M, </w:t>
      </w:r>
      <w:proofErr w:type="spellStart"/>
      <w:r w:rsidRPr="002D088E">
        <w:rPr>
          <w:rFonts w:ascii="Gill Sans MT" w:eastAsia="Times New Roman" w:hAnsi="Gill Sans MT" w:cs="Times New Roman"/>
          <w:bCs/>
          <w:sz w:val="22"/>
        </w:rPr>
        <w:t>Mulwana</w:t>
      </w:r>
      <w:proofErr w:type="spellEnd"/>
      <w:r w:rsidRPr="002D088E">
        <w:rPr>
          <w:rFonts w:ascii="Gill Sans MT" w:eastAsia="Times New Roman" w:hAnsi="Gill Sans MT" w:cs="Times New Roman"/>
          <w:bCs/>
          <w:sz w:val="22"/>
        </w:rPr>
        <w:t xml:space="preserve"> R, et al. Survival and predictors of mortality after completion of TB treatment among people living with HIV: a 5-year analytical cohort. BMC Infect Dis. 2023;23(1):318.</w:t>
      </w:r>
    </w:p>
    <w:p w14:paraId="25AC9754" w14:textId="77777777" w:rsidR="00DF355B" w:rsidRPr="002D088E" w:rsidRDefault="00DF355B" w:rsidP="002D088E">
      <w:pPr>
        <w:jc w:val="both"/>
        <w:rPr>
          <w:rFonts w:ascii="Gill Sans MT" w:hAnsi="Gill Sans MT"/>
          <w:bCs/>
          <w:sz w:val="22"/>
        </w:rPr>
      </w:pPr>
      <w:r w:rsidRPr="002D088E">
        <w:rPr>
          <w:rFonts w:ascii="Gill Sans MT" w:eastAsia="Times New Roman" w:hAnsi="Gill Sans MT" w:cs="Times New Roman"/>
          <w:bCs/>
          <w:sz w:val="22"/>
        </w:rPr>
        <w:t xml:space="preserve">14. </w:t>
      </w:r>
      <w:proofErr w:type="spellStart"/>
      <w:r w:rsidRPr="002D088E">
        <w:rPr>
          <w:rFonts w:ascii="Gill Sans MT" w:eastAsia="Times New Roman" w:hAnsi="Gill Sans MT" w:cs="Times New Roman"/>
          <w:bCs/>
          <w:sz w:val="22"/>
        </w:rPr>
        <w:t>Salindri</w:t>
      </w:r>
      <w:proofErr w:type="spellEnd"/>
      <w:r w:rsidRPr="002D088E">
        <w:rPr>
          <w:rFonts w:ascii="Gill Sans MT" w:eastAsia="Times New Roman" w:hAnsi="Gill Sans MT" w:cs="Times New Roman"/>
          <w:bCs/>
          <w:sz w:val="22"/>
        </w:rPr>
        <w:t xml:space="preserve"> AD, </w:t>
      </w:r>
      <w:proofErr w:type="spellStart"/>
      <w:r w:rsidRPr="002D088E">
        <w:rPr>
          <w:rFonts w:ascii="Gill Sans MT" w:eastAsia="Times New Roman" w:hAnsi="Gill Sans MT" w:cs="Times New Roman"/>
          <w:bCs/>
          <w:sz w:val="22"/>
        </w:rPr>
        <w:t>Kipiani</w:t>
      </w:r>
      <w:proofErr w:type="spellEnd"/>
      <w:r w:rsidRPr="002D088E">
        <w:rPr>
          <w:rFonts w:ascii="Gill Sans MT" w:eastAsia="Times New Roman" w:hAnsi="Gill Sans MT" w:cs="Times New Roman"/>
          <w:bCs/>
          <w:sz w:val="22"/>
        </w:rPr>
        <w:t xml:space="preserve"> M, </w:t>
      </w:r>
      <w:proofErr w:type="spellStart"/>
      <w:r w:rsidRPr="002D088E">
        <w:rPr>
          <w:rFonts w:ascii="Gill Sans MT" w:eastAsia="Times New Roman" w:hAnsi="Gill Sans MT" w:cs="Times New Roman"/>
          <w:bCs/>
          <w:sz w:val="22"/>
        </w:rPr>
        <w:t>Kempker</w:t>
      </w:r>
      <w:proofErr w:type="spellEnd"/>
      <w:r w:rsidRPr="002D088E">
        <w:rPr>
          <w:rFonts w:ascii="Gill Sans MT" w:eastAsia="Times New Roman" w:hAnsi="Gill Sans MT" w:cs="Times New Roman"/>
          <w:bCs/>
          <w:sz w:val="22"/>
        </w:rPr>
        <w:t xml:space="preserve"> RR, Gandhi NR, </w:t>
      </w:r>
      <w:proofErr w:type="spellStart"/>
      <w:r w:rsidRPr="002D088E">
        <w:rPr>
          <w:rFonts w:ascii="Gill Sans MT" w:eastAsia="Times New Roman" w:hAnsi="Gill Sans MT" w:cs="Times New Roman"/>
          <w:bCs/>
          <w:sz w:val="22"/>
        </w:rPr>
        <w:t>Darchia</w:t>
      </w:r>
      <w:proofErr w:type="spellEnd"/>
      <w:r w:rsidRPr="002D088E">
        <w:rPr>
          <w:rFonts w:ascii="Gill Sans MT" w:eastAsia="Times New Roman" w:hAnsi="Gill Sans MT" w:cs="Times New Roman"/>
          <w:bCs/>
          <w:sz w:val="22"/>
        </w:rPr>
        <w:t xml:space="preserve"> L, </w:t>
      </w:r>
      <w:proofErr w:type="spellStart"/>
      <w:r w:rsidRPr="002D088E">
        <w:rPr>
          <w:rFonts w:ascii="Gill Sans MT" w:eastAsia="Times New Roman" w:hAnsi="Gill Sans MT" w:cs="Times New Roman"/>
          <w:bCs/>
          <w:sz w:val="22"/>
        </w:rPr>
        <w:t>Tukvadze</w:t>
      </w:r>
      <w:proofErr w:type="spellEnd"/>
      <w:r w:rsidRPr="002D088E">
        <w:rPr>
          <w:rFonts w:ascii="Gill Sans MT" w:eastAsia="Times New Roman" w:hAnsi="Gill Sans MT" w:cs="Times New Roman"/>
          <w:bCs/>
          <w:sz w:val="22"/>
        </w:rPr>
        <w:t xml:space="preserve"> N, et al. HIV co-infection increases the risk of post-tuberculosis mortality among persons who initiated treatment for drug-resistant tuberculosis. Sci Rep. 2024;14(1):16605.</w:t>
      </w:r>
    </w:p>
    <w:p w14:paraId="69363746" w14:textId="77777777" w:rsidR="00DF355B" w:rsidRPr="002D088E" w:rsidRDefault="00DF355B" w:rsidP="002D088E">
      <w:pPr>
        <w:jc w:val="both"/>
        <w:rPr>
          <w:rFonts w:ascii="Gill Sans MT" w:hAnsi="Gill Sans MT"/>
          <w:bCs/>
          <w:sz w:val="22"/>
        </w:rPr>
      </w:pPr>
      <w:r w:rsidRPr="002D088E">
        <w:rPr>
          <w:rFonts w:ascii="Gill Sans MT" w:eastAsia="Times New Roman" w:hAnsi="Gill Sans MT" w:cs="Times New Roman"/>
          <w:bCs/>
          <w:sz w:val="22"/>
        </w:rPr>
        <w:t xml:space="preserve">15. </w:t>
      </w:r>
      <w:proofErr w:type="spellStart"/>
      <w:r w:rsidRPr="002D088E">
        <w:rPr>
          <w:rFonts w:ascii="Gill Sans MT" w:eastAsia="Times New Roman" w:hAnsi="Gill Sans MT" w:cs="Times New Roman"/>
          <w:bCs/>
          <w:sz w:val="22"/>
        </w:rPr>
        <w:t>Gorvetzian</w:t>
      </w:r>
      <w:proofErr w:type="spellEnd"/>
      <w:r w:rsidRPr="002D088E">
        <w:rPr>
          <w:rFonts w:ascii="Gill Sans MT" w:eastAsia="Times New Roman" w:hAnsi="Gill Sans MT" w:cs="Times New Roman"/>
          <w:bCs/>
          <w:sz w:val="22"/>
        </w:rPr>
        <w:t xml:space="preserve"> SR, </w:t>
      </w:r>
      <w:proofErr w:type="spellStart"/>
      <w:r w:rsidRPr="002D088E">
        <w:rPr>
          <w:rFonts w:ascii="Gill Sans MT" w:eastAsia="Times New Roman" w:hAnsi="Gill Sans MT" w:cs="Times New Roman"/>
          <w:bCs/>
          <w:sz w:val="22"/>
        </w:rPr>
        <w:t>Kempker</w:t>
      </w:r>
      <w:proofErr w:type="spellEnd"/>
      <w:r w:rsidRPr="002D088E">
        <w:rPr>
          <w:rFonts w:ascii="Gill Sans MT" w:eastAsia="Times New Roman" w:hAnsi="Gill Sans MT" w:cs="Times New Roman"/>
          <w:bCs/>
          <w:sz w:val="22"/>
        </w:rPr>
        <w:t xml:space="preserve"> RR, Magee MJ, Blumberg HM. Post-tuberculosis treatment mortality in Georgia (2009-2018). Open Forum Infect Dis. 2023;10(Suppl 2</w:t>
      </w:r>
      <w:proofErr w:type="gramStart"/>
      <w:r w:rsidRPr="002D088E">
        <w:rPr>
          <w:rFonts w:ascii="Gill Sans MT" w:eastAsia="Times New Roman" w:hAnsi="Gill Sans MT" w:cs="Times New Roman"/>
          <w:bCs/>
          <w:sz w:val="22"/>
        </w:rPr>
        <w:t>):ofad</w:t>
      </w:r>
      <w:proofErr w:type="gramEnd"/>
      <w:r w:rsidRPr="002D088E">
        <w:rPr>
          <w:rFonts w:ascii="Gill Sans MT" w:eastAsia="Times New Roman" w:hAnsi="Gill Sans MT" w:cs="Times New Roman"/>
          <w:bCs/>
          <w:sz w:val="22"/>
        </w:rPr>
        <w:t>500.1705.</w:t>
      </w:r>
    </w:p>
    <w:p w14:paraId="5FF35663" w14:textId="77777777" w:rsidR="00DF355B" w:rsidRPr="002D088E" w:rsidRDefault="00DF355B" w:rsidP="002D088E">
      <w:pPr>
        <w:jc w:val="both"/>
        <w:rPr>
          <w:rFonts w:ascii="Gill Sans MT" w:hAnsi="Gill Sans MT"/>
          <w:bCs/>
          <w:sz w:val="22"/>
        </w:rPr>
      </w:pPr>
      <w:r w:rsidRPr="002D088E">
        <w:rPr>
          <w:rFonts w:ascii="Gill Sans MT" w:eastAsia="Times New Roman" w:hAnsi="Gill Sans MT" w:cs="Times New Roman"/>
          <w:bCs/>
          <w:sz w:val="22"/>
        </w:rPr>
        <w:t>16. Greenwood BM, Kamara A, Kamara S, Kamara TB, Kanu JS, Koroma MM, et al. Treatment outcomes and post-treatment mortality among adults with drug-resistant tuberculosis in Sierra Leone: a national prospective cohort study. SSRN. 2025. https://doi.org/10.2139/ssrn.5290978</w:t>
      </w:r>
    </w:p>
    <w:p w14:paraId="15460BA1" w14:textId="77777777" w:rsidR="00DF355B" w:rsidRPr="002D088E" w:rsidRDefault="00DF355B" w:rsidP="002D088E">
      <w:pPr>
        <w:jc w:val="both"/>
        <w:rPr>
          <w:rFonts w:ascii="Gill Sans MT" w:hAnsi="Gill Sans MT"/>
          <w:bCs/>
          <w:sz w:val="22"/>
        </w:rPr>
      </w:pPr>
      <w:r w:rsidRPr="002D088E">
        <w:rPr>
          <w:rFonts w:ascii="Gill Sans MT" w:eastAsia="Times New Roman" w:hAnsi="Gill Sans MT" w:cs="Times New Roman"/>
          <w:bCs/>
          <w:sz w:val="22"/>
        </w:rPr>
        <w:t xml:space="preserve">17. Osman M, Meehan SA, von Delft A, Du </w:t>
      </w:r>
      <w:proofErr w:type="spellStart"/>
      <w:r w:rsidRPr="002D088E">
        <w:rPr>
          <w:rFonts w:ascii="Gill Sans MT" w:eastAsia="Times New Roman" w:hAnsi="Gill Sans MT" w:cs="Times New Roman"/>
          <w:bCs/>
          <w:sz w:val="22"/>
        </w:rPr>
        <w:t>Preez</w:t>
      </w:r>
      <w:proofErr w:type="spellEnd"/>
      <w:r w:rsidRPr="002D088E">
        <w:rPr>
          <w:rFonts w:ascii="Gill Sans MT" w:eastAsia="Times New Roman" w:hAnsi="Gill Sans MT" w:cs="Times New Roman"/>
          <w:bCs/>
          <w:sz w:val="22"/>
        </w:rPr>
        <w:t xml:space="preserve"> K, Dunbar R, </w:t>
      </w:r>
      <w:proofErr w:type="spellStart"/>
      <w:r w:rsidRPr="002D088E">
        <w:rPr>
          <w:rFonts w:ascii="Gill Sans MT" w:eastAsia="Times New Roman" w:hAnsi="Gill Sans MT" w:cs="Times New Roman"/>
          <w:bCs/>
          <w:sz w:val="22"/>
        </w:rPr>
        <w:t>Hesseling</w:t>
      </w:r>
      <w:proofErr w:type="spellEnd"/>
      <w:r w:rsidRPr="002D088E">
        <w:rPr>
          <w:rFonts w:ascii="Gill Sans MT" w:eastAsia="Times New Roman" w:hAnsi="Gill Sans MT" w:cs="Times New Roman"/>
          <w:bCs/>
          <w:sz w:val="22"/>
        </w:rPr>
        <w:t xml:space="preserve"> AC, et al. Morbidity and mortality up to 5 years post tuberculosis treatment in South Africa: a pilot study. Int J Infect Dis. 2019;</w:t>
      </w:r>
      <w:proofErr w:type="gramStart"/>
      <w:r w:rsidRPr="002D088E">
        <w:rPr>
          <w:rFonts w:ascii="Gill Sans MT" w:eastAsia="Times New Roman" w:hAnsi="Gill Sans MT" w:cs="Times New Roman"/>
          <w:bCs/>
          <w:sz w:val="22"/>
        </w:rPr>
        <w:t>84:S</w:t>
      </w:r>
      <w:proofErr w:type="gramEnd"/>
      <w:r w:rsidRPr="002D088E">
        <w:rPr>
          <w:rFonts w:ascii="Gill Sans MT" w:eastAsia="Times New Roman" w:hAnsi="Gill Sans MT" w:cs="Times New Roman"/>
          <w:bCs/>
          <w:sz w:val="22"/>
        </w:rPr>
        <w:t>24-S29.</w:t>
      </w:r>
    </w:p>
    <w:p w14:paraId="3B38D609" w14:textId="77777777" w:rsidR="00DF355B" w:rsidRPr="002D088E" w:rsidRDefault="00DF355B" w:rsidP="002D088E">
      <w:pPr>
        <w:jc w:val="both"/>
        <w:rPr>
          <w:rFonts w:ascii="Gill Sans MT" w:hAnsi="Gill Sans MT"/>
          <w:bCs/>
          <w:sz w:val="22"/>
        </w:rPr>
      </w:pPr>
      <w:r w:rsidRPr="002D088E">
        <w:rPr>
          <w:rFonts w:ascii="Gill Sans MT" w:eastAsia="Times New Roman" w:hAnsi="Gill Sans MT" w:cs="Times New Roman"/>
          <w:bCs/>
          <w:sz w:val="22"/>
        </w:rPr>
        <w:t xml:space="preserve">18. MacLean E, Kohli M, Weber SF, Suresh A, Schumacher SG, </w:t>
      </w:r>
      <w:proofErr w:type="spellStart"/>
      <w:r w:rsidRPr="002D088E">
        <w:rPr>
          <w:rFonts w:ascii="Gill Sans MT" w:eastAsia="Times New Roman" w:hAnsi="Gill Sans MT" w:cs="Times New Roman"/>
          <w:bCs/>
          <w:sz w:val="22"/>
        </w:rPr>
        <w:t>Denkinger</w:t>
      </w:r>
      <w:proofErr w:type="spellEnd"/>
      <w:r w:rsidRPr="002D088E">
        <w:rPr>
          <w:rFonts w:ascii="Gill Sans MT" w:eastAsia="Times New Roman" w:hAnsi="Gill Sans MT" w:cs="Times New Roman"/>
          <w:bCs/>
          <w:sz w:val="22"/>
        </w:rPr>
        <w:t xml:space="preserve"> CM, et al. Long-term outcomes among people with multidrug-resistant tuberculosis in Vietnam: a prospective cohort study. Clin Infect Dis. 2026;82(10</w:t>
      </w:r>
      <w:proofErr w:type="gramStart"/>
      <w:r w:rsidRPr="002D088E">
        <w:rPr>
          <w:rFonts w:ascii="Gill Sans MT" w:eastAsia="Times New Roman" w:hAnsi="Gill Sans MT" w:cs="Times New Roman"/>
          <w:bCs/>
          <w:sz w:val="22"/>
        </w:rPr>
        <w:t>):ciaf</w:t>
      </w:r>
      <w:proofErr w:type="gramEnd"/>
      <w:r w:rsidRPr="002D088E">
        <w:rPr>
          <w:rFonts w:ascii="Gill Sans MT" w:eastAsia="Times New Roman" w:hAnsi="Gill Sans MT" w:cs="Times New Roman"/>
          <w:bCs/>
          <w:sz w:val="22"/>
        </w:rPr>
        <w:t>363.</w:t>
      </w:r>
    </w:p>
    <w:p w14:paraId="0E77FA1A" w14:textId="77777777" w:rsidR="00DF355B" w:rsidRPr="002D088E" w:rsidRDefault="00DF355B" w:rsidP="002D088E">
      <w:pPr>
        <w:jc w:val="both"/>
        <w:rPr>
          <w:rFonts w:ascii="Gill Sans MT" w:hAnsi="Gill Sans MT"/>
          <w:bCs/>
          <w:sz w:val="22"/>
        </w:rPr>
      </w:pPr>
      <w:r w:rsidRPr="002D088E">
        <w:rPr>
          <w:rFonts w:ascii="Gill Sans MT" w:eastAsia="Times New Roman" w:hAnsi="Gill Sans MT" w:cs="Times New Roman"/>
          <w:bCs/>
          <w:sz w:val="22"/>
        </w:rPr>
        <w:t xml:space="preserve">19. Choi H, Lee M, Chen RY, Kim Y, Yoon S, Joh JS, et al. Predictors of pulmonary tuberculosis treatment outcomes in South Korea: a prospective cohort study, 2005-2012. BMC Infect Dis. </w:t>
      </w:r>
      <w:proofErr w:type="gramStart"/>
      <w:r w:rsidRPr="002D088E">
        <w:rPr>
          <w:rFonts w:ascii="Gill Sans MT" w:eastAsia="Times New Roman" w:hAnsi="Gill Sans MT" w:cs="Times New Roman"/>
          <w:bCs/>
          <w:sz w:val="22"/>
        </w:rPr>
        <w:t>2014;14:360</w:t>
      </w:r>
      <w:proofErr w:type="gramEnd"/>
      <w:r w:rsidRPr="002D088E">
        <w:rPr>
          <w:rFonts w:ascii="Gill Sans MT" w:eastAsia="Times New Roman" w:hAnsi="Gill Sans MT" w:cs="Times New Roman"/>
          <w:bCs/>
          <w:sz w:val="22"/>
        </w:rPr>
        <w:t>.</w:t>
      </w:r>
    </w:p>
    <w:p w14:paraId="2BC28153" w14:textId="77777777" w:rsidR="00DF355B" w:rsidRPr="002D088E" w:rsidRDefault="00DF355B" w:rsidP="002D088E">
      <w:pPr>
        <w:jc w:val="both"/>
        <w:rPr>
          <w:rFonts w:ascii="Gill Sans MT" w:hAnsi="Gill Sans MT"/>
          <w:bCs/>
          <w:sz w:val="22"/>
        </w:rPr>
      </w:pPr>
      <w:r w:rsidRPr="002D088E">
        <w:rPr>
          <w:rFonts w:ascii="Gill Sans MT" w:eastAsia="Times New Roman" w:hAnsi="Gill Sans MT" w:cs="Times New Roman"/>
          <w:bCs/>
          <w:sz w:val="22"/>
        </w:rPr>
        <w:t xml:space="preserve">20. </w:t>
      </w:r>
      <w:proofErr w:type="spellStart"/>
      <w:r w:rsidRPr="002D088E">
        <w:rPr>
          <w:rFonts w:ascii="Gill Sans MT" w:eastAsia="Times New Roman" w:hAnsi="Gill Sans MT" w:cs="Times New Roman"/>
          <w:bCs/>
          <w:sz w:val="22"/>
        </w:rPr>
        <w:t>Vilanova</w:t>
      </w:r>
      <w:proofErr w:type="spellEnd"/>
      <w:r w:rsidRPr="002D088E">
        <w:rPr>
          <w:rFonts w:ascii="Gill Sans MT" w:eastAsia="Times New Roman" w:hAnsi="Gill Sans MT" w:cs="Times New Roman"/>
          <w:bCs/>
          <w:sz w:val="22"/>
        </w:rPr>
        <w:t xml:space="preserve"> A, </w:t>
      </w:r>
      <w:proofErr w:type="spellStart"/>
      <w:r w:rsidRPr="002D088E">
        <w:rPr>
          <w:rFonts w:ascii="Gill Sans MT" w:eastAsia="Times New Roman" w:hAnsi="Gill Sans MT" w:cs="Times New Roman"/>
          <w:bCs/>
          <w:sz w:val="22"/>
        </w:rPr>
        <w:t>Orcau</w:t>
      </w:r>
      <w:proofErr w:type="spellEnd"/>
      <w:r w:rsidRPr="002D088E">
        <w:rPr>
          <w:rFonts w:ascii="Gill Sans MT" w:eastAsia="Times New Roman" w:hAnsi="Gill Sans MT" w:cs="Times New Roman"/>
          <w:bCs/>
          <w:sz w:val="22"/>
        </w:rPr>
        <w:t xml:space="preserve"> A, </w:t>
      </w:r>
      <w:proofErr w:type="spellStart"/>
      <w:r w:rsidRPr="002D088E">
        <w:rPr>
          <w:rFonts w:ascii="Gill Sans MT" w:eastAsia="Times New Roman" w:hAnsi="Gill Sans MT" w:cs="Times New Roman"/>
          <w:bCs/>
          <w:sz w:val="22"/>
        </w:rPr>
        <w:t>Caylà</w:t>
      </w:r>
      <w:proofErr w:type="spellEnd"/>
      <w:r w:rsidRPr="002D088E">
        <w:rPr>
          <w:rFonts w:ascii="Gill Sans MT" w:eastAsia="Times New Roman" w:hAnsi="Gill Sans MT" w:cs="Times New Roman"/>
          <w:bCs/>
          <w:sz w:val="22"/>
        </w:rPr>
        <w:t xml:space="preserve"> JA. </w:t>
      </w:r>
      <w:proofErr w:type="spellStart"/>
      <w:r w:rsidRPr="002D088E">
        <w:rPr>
          <w:rFonts w:ascii="Gill Sans MT" w:eastAsia="Times New Roman" w:hAnsi="Gill Sans MT" w:cs="Times New Roman"/>
          <w:bCs/>
          <w:sz w:val="22"/>
        </w:rPr>
        <w:t>Estudio</w:t>
      </w:r>
      <w:proofErr w:type="spellEnd"/>
      <w:r w:rsidRPr="002D088E">
        <w:rPr>
          <w:rFonts w:ascii="Gill Sans MT" w:eastAsia="Times New Roman" w:hAnsi="Gill Sans MT" w:cs="Times New Roman"/>
          <w:bCs/>
          <w:sz w:val="22"/>
        </w:rPr>
        <w:t xml:space="preserve"> de las </w:t>
      </w:r>
      <w:proofErr w:type="spellStart"/>
      <w:r w:rsidRPr="002D088E">
        <w:rPr>
          <w:rFonts w:ascii="Gill Sans MT" w:eastAsia="Times New Roman" w:hAnsi="Gill Sans MT" w:cs="Times New Roman"/>
          <w:bCs/>
          <w:sz w:val="22"/>
        </w:rPr>
        <w:t>recurrencias</w:t>
      </w:r>
      <w:proofErr w:type="spellEnd"/>
      <w:r w:rsidRPr="002D088E">
        <w:rPr>
          <w:rFonts w:ascii="Gill Sans MT" w:eastAsia="Times New Roman" w:hAnsi="Gill Sans MT" w:cs="Times New Roman"/>
          <w:bCs/>
          <w:sz w:val="22"/>
        </w:rPr>
        <w:t xml:space="preserve"> y de la </w:t>
      </w:r>
      <w:proofErr w:type="spellStart"/>
      <w:r w:rsidRPr="002D088E">
        <w:rPr>
          <w:rFonts w:ascii="Gill Sans MT" w:eastAsia="Times New Roman" w:hAnsi="Gill Sans MT" w:cs="Times New Roman"/>
          <w:bCs/>
          <w:sz w:val="22"/>
        </w:rPr>
        <w:t>supervivencia</w:t>
      </w:r>
      <w:proofErr w:type="spellEnd"/>
      <w:r w:rsidRPr="002D088E">
        <w:rPr>
          <w:rFonts w:ascii="Gill Sans MT" w:eastAsia="Times New Roman" w:hAnsi="Gill Sans MT" w:cs="Times New Roman"/>
          <w:bCs/>
          <w:sz w:val="22"/>
        </w:rPr>
        <w:t xml:space="preserve"> </w:t>
      </w:r>
      <w:proofErr w:type="spellStart"/>
      <w:r w:rsidRPr="002D088E">
        <w:rPr>
          <w:rFonts w:ascii="Gill Sans MT" w:eastAsia="Times New Roman" w:hAnsi="Gill Sans MT" w:cs="Times New Roman"/>
          <w:bCs/>
          <w:sz w:val="22"/>
        </w:rPr>
        <w:t>en</w:t>
      </w:r>
      <w:proofErr w:type="spellEnd"/>
      <w:r w:rsidRPr="002D088E">
        <w:rPr>
          <w:rFonts w:ascii="Gill Sans MT" w:eastAsia="Times New Roman" w:hAnsi="Gill Sans MT" w:cs="Times New Roman"/>
          <w:bCs/>
          <w:sz w:val="22"/>
        </w:rPr>
        <w:t xml:space="preserve"> </w:t>
      </w:r>
      <w:proofErr w:type="spellStart"/>
      <w:r w:rsidRPr="002D088E">
        <w:rPr>
          <w:rFonts w:ascii="Gill Sans MT" w:eastAsia="Times New Roman" w:hAnsi="Gill Sans MT" w:cs="Times New Roman"/>
          <w:bCs/>
          <w:sz w:val="22"/>
        </w:rPr>
        <w:t>los</w:t>
      </w:r>
      <w:proofErr w:type="spellEnd"/>
      <w:r w:rsidRPr="002D088E">
        <w:rPr>
          <w:rFonts w:ascii="Gill Sans MT" w:eastAsia="Times New Roman" w:hAnsi="Gill Sans MT" w:cs="Times New Roman"/>
          <w:bCs/>
          <w:sz w:val="22"/>
        </w:rPr>
        <w:t xml:space="preserve"> </w:t>
      </w:r>
      <w:proofErr w:type="spellStart"/>
      <w:r w:rsidRPr="002D088E">
        <w:rPr>
          <w:rFonts w:ascii="Gill Sans MT" w:eastAsia="Times New Roman" w:hAnsi="Gill Sans MT" w:cs="Times New Roman"/>
          <w:bCs/>
          <w:sz w:val="22"/>
        </w:rPr>
        <w:t>enfermos</w:t>
      </w:r>
      <w:proofErr w:type="spellEnd"/>
      <w:r w:rsidRPr="002D088E">
        <w:rPr>
          <w:rFonts w:ascii="Gill Sans MT" w:eastAsia="Times New Roman" w:hAnsi="Gill Sans MT" w:cs="Times New Roman"/>
          <w:bCs/>
          <w:sz w:val="22"/>
        </w:rPr>
        <w:t xml:space="preserve"> con tuberculosis que </w:t>
      </w:r>
      <w:proofErr w:type="spellStart"/>
      <w:r w:rsidRPr="002D088E">
        <w:rPr>
          <w:rFonts w:ascii="Gill Sans MT" w:eastAsia="Times New Roman" w:hAnsi="Gill Sans MT" w:cs="Times New Roman"/>
          <w:bCs/>
          <w:sz w:val="22"/>
        </w:rPr>
        <w:t>han</w:t>
      </w:r>
      <w:proofErr w:type="spellEnd"/>
      <w:r w:rsidRPr="002D088E">
        <w:rPr>
          <w:rFonts w:ascii="Gill Sans MT" w:eastAsia="Times New Roman" w:hAnsi="Gill Sans MT" w:cs="Times New Roman"/>
          <w:bCs/>
          <w:sz w:val="22"/>
        </w:rPr>
        <w:t xml:space="preserve"> </w:t>
      </w:r>
      <w:proofErr w:type="spellStart"/>
      <w:r w:rsidRPr="002D088E">
        <w:rPr>
          <w:rFonts w:ascii="Gill Sans MT" w:eastAsia="Times New Roman" w:hAnsi="Gill Sans MT" w:cs="Times New Roman"/>
          <w:bCs/>
          <w:sz w:val="22"/>
        </w:rPr>
        <w:t>completado</w:t>
      </w:r>
      <w:proofErr w:type="spellEnd"/>
      <w:r w:rsidRPr="002D088E">
        <w:rPr>
          <w:rFonts w:ascii="Gill Sans MT" w:eastAsia="Times New Roman" w:hAnsi="Gill Sans MT" w:cs="Times New Roman"/>
          <w:bCs/>
          <w:sz w:val="22"/>
        </w:rPr>
        <w:t xml:space="preserve"> </w:t>
      </w:r>
      <w:proofErr w:type="spellStart"/>
      <w:r w:rsidRPr="002D088E">
        <w:rPr>
          <w:rFonts w:ascii="Gill Sans MT" w:eastAsia="Times New Roman" w:hAnsi="Gill Sans MT" w:cs="Times New Roman"/>
          <w:bCs/>
          <w:sz w:val="22"/>
        </w:rPr>
        <w:t>el</w:t>
      </w:r>
      <w:proofErr w:type="spellEnd"/>
      <w:r w:rsidRPr="002D088E">
        <w:rPr>
          <w:rFonts w:ascii="Gill Sans MT" w:eastAsia="Times New Roman" w:hAnsi="Gill Sans MT" w:cs="Times New Roman"/>
          <w:bCs/>
          <w:sz w:val="22"/>
        </w:rPr>
        <w:t xml:space="preserve"> </w:t>
      </w:r>
      <w:proofErr w:type="spellStart"/>
      <w:r w:rsidRPr="002D088E">
        <w:rPr>
          <w:rFonts w:ascii="Gill Sans MT" w:eastAsia="Times New Roman" w:hAnsi="Gill Sans MT" w:cs="Times New Roman"/>
          <w:bCs/>
          <w:sz w:val="22"/>
        </w:rPr>
        <w:t>tratamiento</w:t>
      </w:r>
      <w:proofErr w:type="spellEnd"/>
      <w:r w:rsidRPr="002D088E">
        <w:rPr>
          <w:rFonts w:ascii="Gill Sans MT" w:eastAsia="Times New Roman" w:hAnsi="Gill Sans MT" w:cs="Times New Roman"/>
          <w:bCs/>
          <w:sz w:val="22"/>
        </w:rPr>
        <w:t xml:space="preserve"> </w:t>
      </w:r>
      <w:proofErr w:type="spellStart"/>
      <w:r w:rsidRPr="002D088E">
        <w:rPr>
          <w:rFonts w:ascii="Gill Sans MT" w:eastAsia="Times New Roman" w:hAnsi="Gill Sans MT" w:cs="Times New Roman"/>
          <w:bCs/>
          <w:sz w:val="22"/>
        </w:rPr>
        <w:t>en</w:t>
      </w:r>
      <w:proofErr w:type="spellEnd"/>
      <w:r w:rsidRPr="002D088E">
        <w:rPr>
          <w:rFonts w:ascii="Gill Sans MT" w:eastAsia="Times New Roman" w:hAnsi="Gill Sans MT" w:cs="Times New Roman"/>
          <w:bCs/>
          <w:sz w:val="22"/>
        </w:rPr>
        <w:t xml:space="preserve"> la ciudad de Barcelona (</w:t>
      </w:r>
      <w:proofErr w:type="spellStart"/>
      <w:r w:rsidRPr="002D088E">
        <w:rPr>
          <w:rFonts w:ascii="Gill Sans MT" w:eastAsia="Times New Roman" w:hAnsi="Gill Sans MT" w:cs="Times New Roman"/>
          <w:bCs/>
          <w:sz w:val="22"/>
        </w:rPr>
        <w:t>Phd</w:t>
      </w:r>
      <w:proofErr w:type="spellEnd"/>
      <w:r w:rsidRPr="002D088E">
        <w:rPr>
          <w:rFonts w:ascii="Gill Sans MT" w:eastAsia="Times New Roman" w:hAnsi="Gill Sans MT" w:cs="Times New Roman"/>
          <w:bCs/>
          <w:sz w:val="22"/>
        </w:rPr>
        <w:t xml:space="preserve"> dissertation).</w:t>
      </w:r>
      <w:r w:rsidRPr="002D088E">
        <w:rPr>
          <w:rFonts w:ascii="Gill Sans MT" w:hAnsi="Gill Sans MT"/>
          <w:bCs/>
          <w:sz w:val="22"/>
        </w:rPr>
        <w:t xml:space="preserve"> </w:t>
      </w:r>
      <w:proofErr w:type="spellStart"/>
      <w:r w:rsidRPr="002D088E">
        <w:rPr>
          <w:rFonts w:ascii="Gill Sans MT" w:eastAsia="Times New Roman" w:hAnsi="Gill Sans MT" w:cs="Times New Roman"/>
          <w:bCs/>
          <w:sz w:val="22"/>
        </w:rPr>
        <w:t>Universitat</w:t>
      </w:r>
      <w:proofErr w:type="spellEnd"/>
      <w:r w:rsidRPr="002D088E">
        <w:rPr>
          <w:rFonts w:ascii="Gill Sans MT" w:eastAsia="Times New Roman" w:hAnsi="Gill Sans MT" w:cs="Times New Roman"/>
          <w:bCs/>
          <w:sz w:val="22"/>
        </w:rPr>
        <w:t xml:space="preserve"> </w:t>
      </w:r>
      <w:proofErr w:type="spellStart"/>
      <w:r w:rsidRPr="002D088E">
        <w:rPr>
          <w:rFonts w:ascii="Gill Sans MT" w:eastAsia="Times New Roman" w:hAnsi="Gill Sans MT" w:cs="Times New Roman"/>
          <w:bCs/>
          <w:sz w:val="22"/>
        </w:rPr>
        <w:t>Autònoma</w:t>
      </w:r>
      <w:proofErr w:type="spellEnd"/>
      <w:r w:rsidRPr="002D088E">
        <w:rPr>
          <w:rFonts w:ascii="Gill Sans MT" w:eastAsia="Times New Roman" w:hAnsi="Gill Sans MT" w:cs="Times New Roman"/>
          <w:bCs/>
          <w:sz w:val="22"/>
        </w:rPr>
        <w:t xml:space="preserve"> de Barcelona. 2013. </w:t>
      </w:r>
      <w:r w:rsidRPr="002D088E">
        <w:rPr>
          <w:rFonts w:ascii="Gill Sans MT" w:hAnsi="Gill Sans MT" w:cs="Arial"/>
          <w:bCs/>
          <w:color w:val="0A0A0A"/>
          <w:sz w:val="22"/>
          <w:shd w:val="clear" w:color="auto" w:fill="F3F5F6"/>
        </w:rPr>
        <w:t>Available from:</w:t>
      </w:r>
      <w:r w:rsidRPr="002D088E">
        <w:rPr>
          <w:rFonts w:ascii="Gill Sans MT" w:hAnsi="Gill Sans MT"/>
          <w:bCs/>
          <w:sz w:val="22"/>
        </w:rPr>
        <w:t xml:space="preserve"> </w:t>
      </w:r>
      <w:r w:rsidRPr="002D088E">
        <w:rPr>
          <w:rFonts w:ascii="Gill Sans MT" w:hAnsi="Gill Sans MT" w:cs="Arial"/>
          <w:bCs/>
          <w:color w:val="0A0A0A"/>
          <w:sz w:val="22"/>
          <w:shd w:val="clear" w:color="auto" w:fill="F3F5F6"/>
        </w:rPr>
        <w:t>https://ddd.uab.cat/record/127458</w:t>
      </w:r>
    </w:p>
    <w:p w14:paraId="5FE82ABC" w14:textId="77777777" w:rsidR="00DF355B" w:rsidRPr="002D088E" w:rsidRDefault="00DF355B" w:rsidP="002D088E">
      <w:pPr>
        <w:jc w:val="both"/>
        <w:rPr>
          <w:rFonts w:ascii="Gill Sans MT" w:hAnsi="Gill Sans MT"/>
          <w:bCs/>
          <w:sz w:val="22"/>
        </w:rPr>
      </w:pPr>
      <w:r w:rsidRPr="002D088E">
        <w:rPr>
          <w:rFonts w:ascii="Gill Sans MT" w:eastAsia="Times New Roman" w:hAnsi="Gill Sans MT" w:cs="Times New Roman"/>
          <w:bCs/>
          <w:sz w:val="22"/>
        </w:rPr>
        <w:lastRenderedPageBreak/>
        <w:t xml:space="preserve">21. </w:t>
      </w:r>
      <w:proofErr w:type="spellStart"/>
      <w:r w:rsidRPr="002D088E">
        <w:rPr>
          <w:rFonts w:ascii="Gill Sans MT" w:eastAsia="Times New Roman" w:hAnsi="Gill Sans MT" w:cs="Times New Roman"/>
          <w:bCs/>
          <w:sz w:val="22"/>
        </w:rPr>
        <w:t>Gorvetzian</w:t>
      </w:r>
      <w:proofErr w:type="spellEnd"/>
      <w:r w:rsidRPr="002D088E">
        <w:rPr>
          <w:rFonts w:ascii="Gill Sans MT" w:eastAsia="Times New Roman" w:hAnsi="Gill Sans MT" w:cs="Times New Roman"/>
          <w:bCs/>
          <w:sz w:val="22"/>
        </w:rPr>
        <w:t xml:space="preserve"> SR, </w:t>
      </w:r>
      <w:proofErr w:type="spellStart"/>
      <w:r w:rsidRPr="002D088E">
        <w:rPr>
          <w:rFonts w:ascii="Gill Sans MT" w:eastAsia="Times New Roman" w:hAnsi="Gill Sans MT" w:cs="Times New Roman"/>
          <w:bCs/>
          <w:sz w:val="22"/>
        </w:rPr>
        <w:t>Kempker</w:t>
      </w:r>
      <w:proofErr w:type="spellEnd"/>
      <w:r w:rsidRPr="002D088E">
        <w:rPr>
          <w:rFonts w:ascii="Gill Sans MT" w:eastAsia="Times New Roman" w:hAnsi="Gill Sans MT" w:cs="Times New Roman"/>
          <w:bCs/>
          <w:sz w:val="22"/>
        </w:rPr>
        <w:t xml:space="preserve"> RR, Magee MJ, Blumberg HM. Mortality rates after tuberculosis treatment, Georgia, USA, 2008-2019. </w:t>
      </w:r>
      <w:proofErr w:type="spellStart"/>
      <w:r w:rsidRPr="002D088E">
        <w:rPr>
          <w:rFonts w:ascii="Gill Sans MT" w:eastAsia="Times New Roman" w:hAnsi="Gill Sans MT" w:cs="Times New Roman"/>
          <w:bCs/>
          <w:sz w:val="22"/>
        </w:rPr>
        <w:t>Emerg</w:t>
      </w:r>
      <w:proofErr w:type="spellEnd"/>
      <w:r w:rsidRPr="002D088E">
        <w:rPr>
          <w:rFonts w:ascii="Gill Sans MT" w:eastAsia="Times New Roman" w:hAnsi="Gill Sans MT" w:cs="Times New Roman"/>
          <w:bCs/>
          <w:sz w:val="22"/>
        </w:rPr>
        <w:t xml:space="preserve"> Infect Dis. 2024;30(11):2285-93.</w:t>
      </w:r>
    </w:p>
    <w:p w14:paraId="68BC697A" w14:textId="77777777" w:rsidR="00DF355B" w:rsidRPr="002D088E" w:rsidRDefault="00DF355B" w:rsidP="002D088E">
      <w:pPr>
        <w:jc w:val="both"/>
        <w:rPr>
          <w:rFonts w:ascii="Gill Sans MT" w:hAnsi="Gill Sans MT"/>
          <w:bCs/>
          <w:sz w:val="22"/>
        </w:rPr>
      </w:pPr>
      <w:r w:rsidRPr="002D088E">
        <w:rPr>
          <w:rFonts w:ascii="Gill Sans MT" w:eastAsia="Times New Roman" w:hAnsi="Gill Sans MT" w:cs="Times New Roman"/>
          <w:bCs/>
          <w:sz w:val="22"/>
        </w:rPr>
        <w:t xml:space="preserve">22. Lee-Rodriguez C, Wada PY, Hung YY, </w:t>
      </w:r>
      <w:proofErr w:type="spellStart"/>
      <w:r w:rsidRPr="002D088E">
        <w:rPr>
          <w:rFonts w:ascii="Gill Sans MT" w:eastAsia="Times New Roman" w:hAnsi="Gill Sans MT" w:cs="Times New Roman"/>
          <w:bCs/>
          <w:sz w:val="22"/>
        </w:rPr>
        <w:t>Skarbinski</w:t>
      </w:r>
      <w:proofErr w:type="spellEnd"/>
      <w:r w:rsidRPr="002D088E">
        <w:rPr>
          <w:rFonts w:ascii="Gill Sans MT" w:eastAsia="Times New Roman" w:hAnsi="Gill Sans MT" w:cs="Times New Roman"/>
          <w:bCs/>
          <w:sz w:val="22"/>
        </w:rPr>
        <w:t xml:space="preserve"> J. Association of mortality and years of potential life lost with active tuberculosis in the United States. JAMA </w:t>
      </w:r>
      <w:proofErr w:type="spellStart"/>
      <w:r w:rsidRPr="002D088E">
        <w:rPr>
          <w:rFonts w:ascii="Gill Sans MT" w:eastAsia="Times New Roman" w:hAnsi="Gill Sans MT" w:cs="Times New Roman"/>
          <w:bCs/>
          <w:sz w:val="22"/>
        </w:rPr>
        <w:t>Netw</w:t>
      </w:r>
      <w:proofErr w:type="spellEnd"/>
      <w:r w:rsidRPr="002D088E">
        <w:rPr>
          <w:rFonts w:ascii="Gill Sans MT" w:eastAsia="Times New Roman" w:hAnsi="Gill Sans MT" w:cs="Times New Roman"/>
          <w:bCs/>
          <w:sz w:val="22"/>
        </w:rPr>
        <w:t xml:space="preserve"> Open. 2020;3(9</w:t>
      </w:r>
      <w:proofErr w:type="gramStart"/>
      <w:r w:rsidRPr="002D088E">
        <w:rPr>
          <w:rFonts w:ascii="Gill Sans MT" w:eastAsia="Times New Roman" w:hAnsi="Gill Sans MT" w:cs="Times New Roman"/>
          <w:bCs/>
          <w:sz w:val="22"/>
        </w:rPr>
        <w:t>):e</w:t>
      </w:r>
      <w:proofErr w:type="gramEnd"/>
      <w:r w:rsidRPr="002D088E">
        <w:rPr>
          <w:rFonts w:ascii="Gill Sans MT" w:eastAsia="Times New Roman" w:hAnsi="Gill Sans MT" w:cs="Times New Roman"/>
          <w:bCs/>
          <w:sz w:val="22"/>
        </w:rPr>
        <w:t>2014481.</w:t>
      </w:r>
    </w:p>
    <w:p w14:paraId="1F275ED7" w14:textId="77777777" w:rsidR="00DF355B" w:rsidRPr="002D088E" w:rsidRDefault="00DF355B" w:rsidP="002D088E">
      <w:pPr>
        <w:jc w:val="both"/>
        <w:rPr>
          <w:rFonts w:ascii="Gill Sans MT" w:hAnsi="Gill Sans MT"/>
          <w:bCs/>
          <w:sz w:val="22"/>
        </w:rPr>
      </w:pPr>
      <w:r w:rsidRPr="002D088E">
        <w:rPr>
          <w:rFonts w:ascii="Gill Sans MT" w:eastAsia="Times New Roman" w:hAnsi="Gill Sans MT" w:cs="Times New Roman"/>
          <w:bCs/>
          <w:sz w:val="22"/>
        </w:rPr>
        <w:t xml:space="preserve">23. </w:t>
      </w:r>
      <w:proofErr w:type="spellStart"/>
      <w:r w:rsidRPr="002D088E">
        <w:rPr>
          <w:rFonts w:ascii="Gill Sans MT" w:eastAsia="Times New Roman" w:hAnsi="Gill Sans MT" w:cs="Times New Roman"/>
          <w:bCs/>
          <w:sz w:val="22"/>
        </w:rPr>
        <w:t>Datiko</w:t>
      </w:r>
      <w:proofErr w:type="spellEnd"/>
      <w:r w:rsidRPr="002D088E">
        <w:rPr>
          <w:rFonts w:ascii="Gill Sans MT" w:eastAsia="Times New Roman" w:hAnsi="Gill Sans MT" w:cs="Times New Roman"/>
          <w:bCs/>
          <w:sz w:val="22"/>
        </w:rPr>
        <w:t xml:space="preserve"> DG. Improving tuberculosis control in Ethiopia: performance of TB control programme, community DOTS and its cost-effectiveness. [Thesis]. 2011.</w:t>
      </w:r>
    </w:p>
    <w:p w14:paraId="446E18B3" w14:textId="77777777" w:rsidR="00DF355B" w:rsidRPr="002D088E" w:rsidRDefault="00DF355B" w:rsidP="002D088E">
      <w:pPr>
        <w:jc w:val="both"/>
        <w:rPr>
          <w:rFonts w:ascii="Gill Sans MT" w:hAnsi="Gill Sans MT"/>
          <w:bCs/>
          <w:sz w:val="22"/>
        </w:rPr>
      </w:pPr>
      <w:r w:rsidRPr="002D088E">
        <w:rPr>
          <w:rFonts w:ascii="Gill Sans MT" w:eastAsia="Times New Roman" w:hAnsi="Gill Sans MT" w:cs="Times New Roman"/>
          <w:bCs/>
          <w:sz w:val="22"/>
        </w:rPr>
        <w:t xml:space="preserve">24. </w:t>
      </w:r>
      <w:proofErr w:type="spellStart"/>
      <w:r w:rsidRPr="002D088E">
        <w:rPr>
          <w:rFonts w:ascii="Gill Sans MT" w:eastAsia="Times New Roman" w:hAnsi="Gill Sans MT" w:cs="Times New Roman"/>
          <w:bCs/>
          <w:sz w:val="22"/>
        </w:rPr>
        <w:t>Shuldiner</w:t>
      </w:r>
      <w:proofErr w:type="spellEnd"/>
      <w:r w:rsidRPr="002D088E">
        <w:rPr>
          <w:rFonts w:ascii="Gill Sans MT" w:eastAsia="Times New Roman" w:hAnsi="Gill Sans MT" w:cs="Times New Roman"/>
          <w:bCs/>
          <w:sz w:val="22"/>
        </w:rPr>
        <w:t xml:space="preserve"> J, Leventhal A, </w:t>
      </w:r>
      <w:proofErr w:type="spellStart"/>
      <w:r w:rsidRPr="002D088E">
        <w:rPr>
          <w:rFonts w:ascii="Gill Sans MT" w:eastAsia="Times New Roman" w:hAnsi="Gill Sans MT" w:cs="Times New Roman"/>
          <w:bCs/>
          <w:sz w:val="22"/>
        </w:rPr>
        <w:t>Chemtob</w:t>
      </w:r>
      <w:proofErr w:type="spellEnd"/>
      <w:r w:rsidRPr="002D088E">
        <w:rPr>
          <w:rFonts w:ascii="Gill Sans MT" w:eastAsia="Times New Roman" w:hAnsi="Gill Sans MT" w:cs="Times New Roman"/>
          <w:bCs/>
          <w:sz w:val="22"/>
        </w:rPr>
        <w:t xml:space="preserve"> D, Mor Z. Mortality after anti-tuberculosis treatment completion: results of long-term follow-up. Int J </w:t>
      </w:r>
      <w:proofErr w:type="spellStart"/>
      <w:r w:rsidRPr="002D088E">
        <w:rPr>
          <w:rFonts w:ascii="Gill Sans MT" w:eastAsia="Times New Roman" w:hAnsi="Gill Sans MT" w:cs="Times New Roman"/>
          <w:bCs/>
          <w:sz w:val="22"/>
        </w:rPr>
        <w:t>Tuberc</w:t>
      </w:r>
      <w:proofErr w:type="spellEnd"/>
      <w:r w:rsidRPr="002D088E">
        <w:rPr>
          <w:rFonts w:ascii="Gill Sans MT" w:eastAsia="Times New Roman" w:hAnsi="Gill Sans MT" w:cs="Times New Roman"/>
          <w:bCs/>
          <w:sz w:val="22"/>
        </w:rPr>
        <w:t xml:space="preserve"> Lung Dis. 2016;20(1):43-8.</w:t>
      </w:r>
    </w:p>
    <w:p w14:paraId="4EB66684" w14:textId="77777777" w:rsidR="00DF355B" w:rsidRPr="002D088E" w:rsidRDefault="00DF355B" w:rsidP="002D088E">
      <w:pPr>
        <w:jc w:val="both"/>
        <w:rPr>
          <w:rFonts w:ascii="Gill Sans MT" w:hAnsi="Gill Sans MT"/>
          <w:bCs/>
          <w:sz w:val="22"/>
        </w:rPr>
      </w:pPr>
      <w:r w:rsidRPr="002D088E">
        <w:rPr>
          <w:rFonts w:ascii="Gill Sans MT" w:eastAsia="Times New Roman" w:hAnsi="Gill Sans MT" w:cs="Times New Roman"/>
          <w:bCs/>
          <w:sz w:val="22"/>
        </w:rPr>
        <w:t xml:space="preserve">25. Joseph J, </w:t>
      </w:r>
      <w:proofErr w:type="spellStart"/>
      <w:r w:rsidRPr="002D088E">
        <w:rPr>
          <w:rFonts w:ascii="Gill Sans MT" w:eastAsia="Times New Roman" w:hAnsi="Gill Sans MT" w:cs="Times New Roman"/>
          <w:bCs/>
          <w:sz w:val="22"/>
        </w:rPr>
        <w:t>Gottumukkala</w:t>
      </w:r>
      <w:proofErr w:type="spellEnd"/>
      <w:r w:rsidRPr="002D088E">
        <w:rPr>
          <w:rFonts w:ascii="Gill Sans MT" w:eastAsia="Times New Roman" w:hAnsi="Gill Sans MT" w:cs="Times New Roman"/>
          <w:bCs/>
          <w:sz w:val="22"/>
        </w:rPr>
        <w:t xml:space="preserve"> S, Lama JR, </w:t>
      </w:r>
      <w:proofErr w:type="spellStart"/>
      <w:r w:rsidRPr="002D088E">
        <w:rPr>
          <w:rFonts w:ascii="Gill Sans MT" w:eastAsia="Times New Roman" w:hAnsi="Gill Sans MT" w:cs="Times New Roman"/>
          <w:bCs/>
          <w:sz w:val="22"/>
        </w:rPr>
        <w:t>Grinsdale</w:t>
      </w:r>
      <w:proofErr w:type="spellEnd"/>
      <w:r w:rsidRPr="002D088E">
        <w:rPr>
          <w:rFonts w:ascii="Gill Sans MT" w:eastAsia="Times New Roman" w:hAnsi="Gill Sans MT" w:cs="Times New Roman"/>
          <w:bCs/>
          <w:sz w:val="22"/>
        </w:rPr>
        <w:t xml:space="preserve"> J, Pape JW, </w:t>
      </w:r>
      <w:proofErr w:type="spellStart"/>
      <w:r w:rsidRPr="002D088E">
        <w:rPr>
          <w:rFonts w:ascii="Gill Sans MT" w:eastAsia="Times New Roman" w:hAnsi="Gill Sans MT" w:cs="Times New Roman"/>
          <w:bCs/>
          <w:sz w:val="22"/>
        </w:rPr>
        <w:t>Padayatchi</w:t>
      </w:r>
      <w:proofErr w:type="spellEnd"/>
      <w:r w:rsidRPr="002D088E">
        <w:rPr>
          <w:rFonts w:ascii="Gill Sans MT" w:eastAsia="Times New Roman" w:hAnsi="Gill Sans MT" w:cs="Times New Roman"/>
          <w:bCs/>
          <w:sz w:val="22"/>
        </w:rPr>
        <w:t xml:space="preserve"> N, et al. Long-term mortality after tuberculosis treatment among persons living with HIV in Haiti. J Int AIDS Soc. 2021;24(6</w:t>
      </w:r>
      <w:proofErr w:type="gramStart"/>
      <w:r w:rsidRPr="002D088E">
        <w:rPr>
          <w:rFonts w:ascii="Gill Sans MT" w:eastAsia="Times New Roman" w:hAnsi="Gill Sans MT" w:cs="Times New Roman"/>
          <w:bCs/>
          <w:sz w:val="22"/>
        </w:rPr>
        <w:t>):e</w:t>
      </w:r>
      <w:proofErr w:type="gramEnd"/>
      <w:r w:rsidRPr="002D088E">
        <w:rPr>
          <w:rFonts w:ascii="Gill Sans MT" w:eastAsia="Times New Roman" w:hAnsi="Gill Sans MT" w:cs="Times New Roman"/>
          <w:bCs/>
          <w:sz w:val="22"/>
        </w:rPr>
        <w:t>25721.</w:t>
      </w:r>
    </w:p>
    <w:p w14:paraId="4687A77A" w14:textId="77777777" w:rsidR="00DF355B" w:rsidRPr="002D088E" w:rsidRDefault="00DF355B" w:rsidP="002D088E">
      <w:pPr>
        <w:jc w:val="both"/>
        <w:rPr>
          <w:rFonts w:ascii="Gill Sans MT" w:hAnsi="Gill Sans MT"/>
          <w:bCs/>
          <w:sz w:val="22"/>
        </w:rPr>
      </w:pPr>
      <w:r w:rsidRPr="002D088E">
        <w:rPr>
          <w:rFonts w:ascii="Gill Sans MT" w:eastAsia="Times New Roman" w:hAnsi="Gill Sans MT" w:cs="Times New Roman"/>
          <w:bCs/>
          <w:sz w:val="22"/>
        </w:rPr>
        <w:t xml:space="preserve">26. </w:t>
      </w:r>
      <w:proofErr w:type="spellStart"/>
      <w:r w:rsidRPr="002D088E">
        <w:rPr>
          <w:rFonts w:ascii="Gill Sans MT" w:eastAsia="Times New Roman" w:hAnsi="Gill Sans MT" w:cs="Times New Roman"/>
          <w:bCs/>
          <w:sz w:val="22"/>
        </w:rPr>
        <w:t>Kolappan</w:t>
      </w:r>
      <w:proofErr w:type="spellEnd"/>
      <w:r w:rsidRPr="002D088E">
        <w:rPr>
          <w:rFonts w:ascii="Gill Sans MT" w:eastAsia="Times New Roman" w:hAnsi="Gill Sans MT" w:cs="Times New Roman"/>
          <w:bCs/>
          <w:sz w:val="22"/>
        </w:rPr>
        <w:t xml:space="preserve"> C, Gopi PG, Subramani R, Narayanan PR. Mortality of tuberculosis patients in Chennai, India. Bull World Health Organ. 2006;84(7):555-60.</w:t>
      </w:r>
    </w:p>
    <w:p w14:paraId="5D30BEC6" w14:textId="77777777" w:rsidR="00DF355B" w:rsidRPr="002D088E" w:rsidRDefault="00DF355B" w:rsidP="002D088E">
      <w:pPr>
        <w:jc w:val="both"/>
        <w:rPr>
          <w:rFonts w:ascii="Gill Sans MT" w:hAnsi="Gill Sans MT"/>
          <w:bCs/>
          <w:sz w:val="22"/>
        </w:rPr>
      </w:pPr>
      <w:r w:rsidRPr="002D088E">
        <w:rPr>
          <w:rFonts w:ascii="Gill Sans MT" w:eastAsia="Times New Roman" w:hAnsi="Gill Sans MT" w:cs="Times New Roman"/>
          <w:bCs/>
          <w:sz w:val="22"/>
        </w:rPr>
        <w:t>27. Frank TD, Mohr E, Mappin-</w:t>
      </w:r>
      <w:proofErr w:type="spellStart"/>
      <w:r w:rsidRPr="002D088E">
        <w:rPr>
          <w:rFonts w:ascii="Gill Sans MT" w:eastAsia="Times New Roman" w:hAnsi="Gill Sans MT" w:cs="Times New Roman"/>
          <w:bCs/>
          <w:sz w:val="22"/>
        </w:rPr>
        <w:t>Kasirer</w:t>
      </w:r>
      <w:proofErr w:type="spellEnd"/>
      <w:r w:rsidRPr="002D088E">
        <w:rPr>
          <w:rFonts w:ascii="Gill Sans MT" w:eastAsia="Times New Roman" w:hAnsi="Gill Sans MT" w:cs="Times New Roman"/>
          <w:bCs/>
          <w:sz w:val="22"/>
        </w:rPr>
        <w:t xml:space="preserve"> B, </w:t>
      </w:r>
      <w:proofErr w:type="spellStart"/>
      <w:r w:rsidRPr="002D088E">
        <w:rPr>
          <w:rFonts w:ascii="Gill Sans MT" w:eastAsia="Times New Roman" w:hAnsi="Gill Sans MT" w:cs="Times New Roman"/>
          <w:bCs/>
          <w:sz w:val="22"/>
        </w:rPr>
        <w:t>Mudaly</w:t>
      </w:r>
      <w:proofErr w:type="spellEnd"/>
      <w:r w:rsidRPr="002D088E">
        <w:rPr>
          <w:rFonts w:ascii="Gill Sans MT" w:eastAsia="Times New Roman" w:hAnsi="Gill Sans MT" w:cs="Times New Roman"/>
          <w:bCs/>
          <w:sz w:val="22"/>
        </w:rPr>
        <w:t xml:space="preserve"> V, Kock Y, </w:t>
      </w:r>
      <w:proofErr w:type="spellStart"/>
      <w:r w:rsidRPr="002D088E">
        <w:rPr>
          <w:rFonts w:ascii="Gill Sans MT" w:eastAsia="Times New Roman" w:hAnsi="Gill Sans MT" w:cs="Times New Roman"/>
          <w:bCs/>
          <w:sz w:val="22"/>
        </w:rPr>
        <w:t>Berhanu</w:t>
      </w:r>
      <w:proofErr w:type="spellEnd"/>
      <w:r w:rsidRPr="002D088E">
        <w:rPr>
          <w:rFonts w:ascii="Gill Sans MT" w:eastAsia="Times New Roman" w:hAnsi="Gill Sans MT" w:cs="Times New Roman"/>
          <w:bCs/>
          <w:sz w:val="22"/>
        </w:rPr>
        <w:t xml:space="preserve"> R, et al. Long-term follow-up reveals high posttreatment mortality rate among patients with extensively drug-resistant tuberculosis in the country of Georgia. Open Forum Infect Dis. 2019;6(5</w:t>
      </w:r>
      <w:proofErr w:type="gramStart"/>
      <w:r w:rsidRPr="002D088E">
        <w:rPr>
          <w:rFonts w:ascii="Gill Sans MT" w:eastAsia="Times New Roman" w:hAnsi="Gill Sans MT" w:cs="Times New Roman"/>
          <w:bCs/>
          <w:sz w:val="22"/>
        </w:rPr>
        <w:t>):ofz</w:t>
      </w:r>
      <w:proofErr w:type="gramEnd"/>
      <w:r w:rsidRPr="002D088E">
        <w:rPr>
          <w:rFonts w:ascii="Gill Sans MT" w:eastAsia="Times New Roman" w:hAnsi="Gill Sans MT" w:cs="Times New Roman"/>
          <w:bCs/>
          <w:sz w:val="22"/>
        </w:rPr>
        <w:t>152.</w:t>
      </w:r>
    </w:p>
    <w:p w14:paraId="32138866" w14:textId="77777777" w:rsidR="00DF355B" w:rsidRPr="002D088E" w:rsidRDefault="00DF355B" w:rsidP="002D088E">
      <w:pPr>
        <w:jc w:val="both"/>
        <w:rPr>
          <w:rFonts w:ascii="Gill Sans MT" w:hAnsi="Gill Sans MT"/>
          <w:bCs/>
          <w:sz w:val="22"/>
        </w:rPr>
      </w:pPr>
      <w:r w:rsidRPr="002D088E">
        <w:rPr>
          <w:rFonts w:ascii="Gill Sans MT" w:eastAsia="Times New Roman" w:hAnsi="Gill Sans MT" w:cs="Times New Roman"/>
          <w:bCs/>
          <w:sz w:val="22"/>
        </w:rPr>
        <w:t>28. Acharya S, Pradhan P, Lalwani S, Joshi A, Mishra G, Kadam D, et al. Factors associated with mortality in HIV-TB co-infected patients during and after the course of TB treatment in high-burden settings, Mumbai, India: a cohort analysis. Trop Med Int Health. 2023;28(11):948-57.</w:t>
      </w:r>
    </w:p>
    <w:p w14:paraId="32647C0F" w14:textId="77777777" w:rsidR="00DF355B" w:rsidRPr="002D088E" w:rsidRDefault="00DF355B" w:rsidP="002D088E">
      <w:pPr>
        <w:jc w:val="both"/>
        <w:rPr>
          <w:rFonts w:ascii="Gill Sans MT" w:hAnsi="Gill Sans MT"/>
          <w:bCs/>
          <w:sz w:val="22"/>
        </w:rPr>
      </w:pPr>
      <w:r w:rsidRPr="002D088E">
        <w:rPr>
          <w:rFonts w:ascii="Gill Sans MT" w:eastAsia="Times New Roman" w:hAnsi="Gill Sans MT" w:cs="Times New Roman"/>
          <w:bCs/>
          <w:sz w:val="22"/>
        </w:rPr>
        <w:t xml:space="preserve">29. </w:t>
      </w:r>
      <w:proofErr w:type="spellStart"/>
      <w:r w:rsidRPr="002D088E">
        <w:rPr>
          <w:rFonts w:ascii="Gill Sans MT" w:eastAsia="Times New Roman" w:hAnsi="Gill Sans MT" w:cs="Times New Roman"/>
          <w:bCs/>
          <w:sz w:val="22"/>
        </w:rPr>
        <w:t>Hugara</w:t>
      </w:r>
      <w:proofErr w:type="spellEnd"/>
      <w:r w:rsidRPr="002D088E">
        <w:rPr>
          <w:rFonts w:ascii="Gill Sans MT" w:eastAsia="Times New Roman" w:hAnsi="Gill Sans MT" w:cs="Times New Roman"/>
          <w:bCs/>
          <w:sz w:val="22"/>
        </w:rPr>
        <w:t xml:space="preserve"> N, Gowda S, Gowda S. Five-year survival rate in successfully treated tuberculosis patients in </w:t>
      </w:r>
      <w:proofErr w:type="spellStart"/>
      <w:r w:rsidRPr="002D088E">
        <w:rPr>
          <w:rFonts w:ascii="Gill Sans MT" w:eastAsia="Times New Roman" w:hAnsi="Gill Sans MT" w:cs="Times New Roman"/>
          <w:bCs/>
          <w:sz w:val="22"/>
        </w:rPr>
        <w:t>Mandya</w:t>
      </w:r>
      <w:proofErr w:type="spellEnd"/>
      <w:r w:rsidRPr="002D088E">
        <w:rPr>
          <w:rFonts w:ascii="Gill Sans MT" w:eastAsia="Times New Roman" w:hAnsi="Gill Sans MT" w:cs="Times New Roman"/>
          <w:bCs/>
          <w:sz w:val="22"/>
        </w:rPr>
        <w:t xml:space="preserve"> district, Karnataka: a cross sectional study. Int J Community Med Public Health. 2024;11(12):4928-33.</w:t>
      </w:r>
    </w:p>
    <w:p w14:paraId="53F81E78" w14:textId="77777777" w:rsidR="00DF355B" w:rsidRPr="002D088E" w:rsidRDefault="00DF355B" w:rsidP="002D088E">
      <w:pPr>
        <w:jc w:val="both"/>
        <w:rPr>
          <w:rFonts w:ascii="Gill Sans MT" w:hAnsi="Gill Sans MT"/>
          <w:bCs/>
          <w:sz w:val="22"/>
        </w:rPr>
      </w:pPr>
      <w:r w:rsidRPr="002D088E">
        <w:rPr>
          <w:rFonts w:ascii="Gill Sans MT" w:eastAsia="Times New Roman" w:hAnsi="Gill Sans MT" w:cs="Times New Roman"/>
          <w:bCs/>
          <w:sz w:val="22"/>
        </w:rPr>
        <w:t>30. Romanowski K, Baumann B, Basham CA, Ahmad Khan F, Fox GJ, Johnston JC. Long-term all-cause mortality in people treated for tuberculosis: a systematic review and meta-analysis. Lancet Infect Dis. 2019;19(10):1129-37.</w:t>
      </w:r>
    </w:p>
    <w:p w14:paraId="70B5C552" w14:textId="77777777" w:rsidR="00170BD9" w:rsidRDefault="00170BD9" w:rsidP="00DF355B">
      <w:pPr>
        <w:pStyle w:val="ReferenceAIDSAE"/>
      </w:pPr>
    </w:p>
    <w:sectPr w:rsidR="00170BD9" w:rsidSect="008729F9">
      <w:headerReference w:type="default" r:id="rId17"/>
      <w:footerReference w:type="default" r:id="rId18"/>
      <w:pgSz w:w="11906" w:h="16838"/>
      <w:pgMar w:top="851" w:right="1134" w:bottom="851" w:left="1134" w:header="454" w:footer="454" w:gutter="0"/>
      <w:pgNumType w:start="6"/>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0742ED" w14:textId="77777777" w:rsidR="008729F9" w:rsidRDefault="008729F9">
      <w:pPr>
        <w:spacing w:after="0" w:line="240" w:lineRule="auto"/>
      </w:pPr>
      <w:r>
        <w:separator/>
      </w:r>
    </w:p>
  </w:endnote>
  <w:endnote w:type="continuationSeparator" w:id="0">
    <w:p w14:paraId="089A77B1" w14:textId="77777777" w:rsidR="008729F9" w:rsidRDefault="008729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1D5FD" w14:textId="659B84A1" w:rsidR="00170BD9" w:rsidRDefault="00F4468B">
    <w:pPr>
      <w:pStyle w:val="Footer"/>
      <w:jc w:val="center"/>
    </w:pPr>
    <w:r w:rsidRPr="00BE6AFE">
      <w:rPr>
        <w:rFonts w:ascii="Georgia" w:hAnsi="Georgia"/>
        <w:b/>
        <w:bCs/>
        <w:noProof/>
        <w:color w:val="646464"/>
        <w:sz w:val="17"/>
      </w:rPr>
      <mc:AlternateContent>
        <mc:Choice Requires="wps">
          <w:drawing>
            <wp:anchor distT="0" distB="0" distL="114300" distR="114300" simplePos="0" relativeHeight="251658752" behindDoc="0" locked="0" layoutInCell="1" allowOverlap="1" wp14:anchorId="1A3C10DF" wp14:editId="2E729889">
              <wp:simplePos x="0" y="0"/>
              <wp:positionH relativeFrom="column">
                <wp:posOffset>-24766</wp:posOffset>
              </wp:positionH>
              <wp:positionV relativeFrom="paragraph">
                <wp:posOffset>-78105</wp:posOffset>
              </wp:positionV>
              <wp:extent cx="667702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6677025" cy="0"/>
                      </a:xfrm>
                      <a:prstGeom prst="line">
                        <a:avLst/>
                      </a:prstGeom>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anchor>
          </w:drawing>
        </mc:Choice>
        <mc:Fallback>
          <w:pict>
            <v:line w14:anchorId="36EF8860" id="Straight Connector 1" o:spid="_x0000_s1026" style="position:absolute;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5pt,-6.15pt" to="523.8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" strokecolor="#94b64e [3046]"/>
          </w:pict>
        </mc:Fallback>
      </mc:AlternateContent>
    </w:r>
    <w:r w:rsidR="006935BA" w:rsidRPr="00BE6AFE">
      <w:rPr>
        <w:rFonts w:ascii="Georgia" w:hAnsi="Georgia"/>
        <w:b/>
        <w:bCs/>
        <w:color w:val="646464"/>
        <w:sz w:val="17"/>
      </w:rPr>
      <w:t>Nalubega et al., (2026)</w:t>
    </w:r>
    <w:r w:rsidR="006935BA">
      <w:rPr>
        <w:color w:val="646464"/>
        <w:sz w:val="17"/>
      </w:rPr>
      <w:tab/>
    </w:r>
    <w:r w:rsidR="006935BA">
      <w:fldChar w:fldCharType="begin"/>
    </w:r>
    <w:r w:rsidR="006935BA">
      <w:instrText>PAGE</w:instrText>
    </w:r>
    <w:r w:rsidR="006935BA">
      <w:fldChar w:fldCharType="separate"/>
    </w:r>
    <w:r w:rsidR="009C20E4">
      <w:rPr>
        <w:noProof/>
      </w:rPr>
      <w:t>1</w:t>
    </w:r>
    <w:r w:rsidR="006935BA">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693AF8" w14:textId="77777777" w:rsidR="008729F9" w:rsidRDefault="008729F9">
      <w:pPr>
        <w:spacing w:after="0" w:line="240" w:lineRule="auto"/>
      </w:pPr>
      <w:r>
        <w:separator/>
      </w:r>
    </w:p>
  </w:footnote>
  <w:footnote w:type="continuationSeparator" w:id="0">
    <w:p w14:paraId="147127C5" w14:textId="77777777" w:rsidR="008729F9" w:rsidRDefault="008729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C281E" w14:textId="7F1A33E3" w:rsidR="00170BD9" w:rsidRDefault="00123589" w:rsidP="00C557F9">
    <w:pPr>
      <w:pStyle w:val="Header"/>
      <w:ind w:left="-426" w:right="-143"/>
      <w:rPr>
        <w:rFonts w:ascii="Book Antiqua" w:hAnsi="Book Antiqua"/>
        <w:color w:val="646464"/>
        <w:sz w:val="20"/>
        <w:szCs w:val="20"/>
      </w:rPr>
    </w:pPr>
    <w:r w:rsidRPr="00123589">
      <w:rPr>
        <w:rFonts w:ascii="Book Antiqua" w:hAnsi="Book Antiqua"/>
        <w:b/>
        <w:noProof/>
        <w:color w:val="1E4E79"/>
        <w:sz w:val="20"/>
        <w:szCs w:val="20"/>
      </w:rPr>
      <mc:AlternateContent>
        <mc:Choice Requires="wps">
          <w:drawing>
            <wp:anchor distT="45720" distB="45720" distL="114300" distR="114300" simplePos="0" relativeHeight="251657728" behindDoc="0" locked="0" layoutInCell="1" allowOverlap="1" wp14:anchorId="0BDCB3CB" wp14:editId="2E37D1A6">
              <wp:simplePos x="0" y="0"/>
              <wp:positionH relativeFrom="column">
                <wp:posOffset>4347210</wp:posOffset>
              </wp:positionH>
              <wp:positionV relativeFrom="paragraph">
                <wp:posOffset>235585</wp:posOffset>
              </wp:positionV>
              <wp:extent cx="1809750" cy="2286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228600"/>
                      </a:xfrm>
                      <a:prstGeom prst="rect">
                        <a:avLst/>
                      </a:prstGeom>
                      <a:solidFill>
                        <a:srgbClr val="FFFFFF"/>
                      </a:solidFill>
                      <a:ln w="9525">
                        <a:noFill/>
                        <a:miter lim="800000"/>
                        <a:headEnd/>
                        <a:tailEnd/>
                      </a:ln>
                    </wps:spPr>
                    <wps:txbx>
                      <w:txbxContent>
                        <w:p w14:paraId="38ADC584" w14:textId="0AD07A23" w:rsidR="00123589" w:rsidRDefault="00123589">
                          <w:r>
                            <w:t>E-ISSN: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DCB3CB" id="_x0000_t202" coordsize="21600,21600" o:spt="202" path="m,l,21600r21600,l21600,xe">
              <v:stroke joinstyle="miter"/>
              <v:path gradientshapeok="t" o:connecttype="rect"/>
            </v:shapetype>
            <v:shape id="_x0000_s1028" type="#_x0000_t202" style="position:absolute;left:0;text-align:left;margin-left:342.3pt;margin-top:18.55pt;width:142.5pt;height:18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" stroked="f">
              <v:textbox>
                <w:txbxContent>
                  <w:p w14:paraId="38ADC584" w14:textId="0AD07A23" w:rsidR="00123589" w:rsidRDefault="00123589">
                    <w:r>
                      <w:t>E-ISSN:</w:t>
                    </w:r>
                  </w:p>
                </w:txbxContent>
              </v:textbox>
              <w10:wrap type="square"/>
            </v:shape>
          </w:pict>
        </mc:Fallback>
      </mc:AlternateContent>
    </w:r>
    <w:r w:rsidR="00C557F9">
      <w:rPr>
        <w:noProof/>
      </w:rPr>
      <w:drawing>
        <wp:inline distT="0" distB="0" distL="0" distR="0" wp14:anchorId="170C18CF" wp14:editId="46208535">
          <wp:extent cx="1151890" cy="61873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stretch>
                    <a:fillRect/>
                  </a:stretch>
                </pic:blipFill>
                <pic:spPr>
                  <a:xfrm>
                    <a:off x="0" y="0"/>
                    <a:ext cx="1170384" cy="628664"/>
                  </a:xfrm>
                  <a:prstGeom prst="rect">
                    <a:avLst/>
                  </a:prstGeom>
                </pic:spPr>
              </pic:pic>
            </a:graphicData>
          </a:graphic>
        </wp:inline>
      </w:drawing>
    </w:r>
    <w:r w:rsidR="00562797">
      <w:rPr>
        <w:noProof/>
      </w:rPr>
      <mc:AlternateContent>
        <mc:Choice Requires="wps">
          <w:drawing>
            <wp:anchor distT="0" distB="0" distL="114300" distR="114300" simplePos="0" relativeHeight="251656704" behindDoc="0" locked="0" layoutInCell="1" allowOverlap="1" wp14:anchorId="26BE8521" wp14:editId="09E4EBD4">
              <wp:simplePos x="0" y="0"/>
              <wp:positionH relativeFrom="column">
                <wp:posOffset>-710565</wp:posOffset>
              </wp:positionH>
              <wp:positionV relativeFrom="paragraph">
                <wp:posOffset>664210</wp:posOffset>
              </wp:positionV>
              <wp:extent cx="7553325" cy="0"/>
              <wp:effectExtent l="38100" t="38100" r="66675" b="95250"/>
              <wp:wrapNone/>
              <wp:docPr id="2" name="Straight Connector 2"/>
              <wp:cNvGraphicFramePr/>
              <a:graphic xmlns:a="http://schemas.openxmlformats.org/drawingml/2006/main">
                <a:graphicData uri="http://schemas.microsoft.com/office/word/2010/wordprocessingShape">
                  <wps:wsp>
                    <wps:cNvCnPr/>
                    <wps:spPr>
                      <a:xfrm>
                        <a:off x="0" y="0"/>
                        <a:ext cx="7553325"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4CED205B" id="Straight Connector 2" o:spid="_x0000_s1026" style="position:absolute;z-index:251656704;visibility:visible;mso-wrap-style:square;mso-wrap-distance-left:9pt;mso-wrap-distance-top:0;mso-wrap-distance-right:9pt;mso-wrap-distance-bottom:0;mso-position-horizontal:absolute;mso-position-horizontal-relative:text;mso-position-vertical:absolute;mso-position-vertical-relative:text" from="-55.95pt,52.3pt" to="538.8pt,5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" strokecolor="#4f81bd [3204]" strokeweight="2pt">
              <v:shadow on="t" color="black" opacity="24903f" origin=",.5" offset="0,.55556mm"/>
            </v:line>
          </w:pict>
        </mc:Fallback>
      </mc:AlternateContent>
    </w:r>
    <w:r w:rsidR="007F7545">
      <w:rPr>
        <w:rFonts w:ascii="Book Antiqua" w:hAnsi="Book Antiqua"/>
        <w:b/>
        <w:color w:val="1E4E79"/>
        <w:sz w:val="20"/>
        <w:szCs w:val="20"/>
      </w:rPr>
      <w:t xml:space="preserve">      </w:t>
    </w:r>
    <w:r w:rsidR="004023AD" w:rsidRPr="00DB1111">
      <w:rPr>
        <w:rFonts w:ascii="Book Antiqua" w:hAnsi="Book Antiqua"/>
        <w:b/>
        <w:color w:val="1E4E79"/>
        <w:sz w:val="20"/>
        <w:szCs w:val="20"/>
      </w:rPr>
      <w:t>Global Public Health &amp; Health Systems</w:t>
    </w:r>
    <w:r w:rsidR="00A44EF8" w:rsidRPr="00DB1111">
      <w:rPr>
        <w:rFonts w:ascii="Book Antiqua" w:hAnsi="Book Antiqua"/>
        <w:b/>
        <w:color w:val="1E4E79"/>
        <w:sz w:val="20"/>
        <w:szCs w:val="20"/>
      </w:rPr>
      <w:t xml:space="preserve"> Journal</w:t>
    </w:r>
    <w:r w:rsidR="004023AD">
      <w:rPr>
        <w:b/>
        <w:color w:val="1E4E79"/>
        <w:sz w:val="17"/>
      </w:rPr>
      <w:tab/>
    </w:r>
    <w:r w:rsidR="00DB1111">
      <w:rPr>
        <w:b/>
        <w:color w:val="1E4E79"/>
        <w:sz w:val="17"/>
      </w:rPr>
      <w:t xml:space="preserve">    </w:t>
    </w:r>
    <w:r w:rsidR="004023AD" w:rsidRPr="00DB1111">
      <w:rPr>
        <w:rFonts w:ascii="Book Antiqua" w:hAnsi="Book Antiqua"/>
        <w:color w:val="646464"/>
        <w:sz w:val="20"/>
        <w:szCs w:val="20"/>
      </w:rPr>
      <w:t xml:space="preserve">Vol. </w:t>
    </w:r>
    <w:r w:rsidR="00A44EF8" w:rsidRPr="00DB1111">
      <w:rPr>
        <w:rFonts w:ascii="Book Antiqua" w:hAnsi="Book Antiqua"/>
        <w:color w:val="646464"/>
        <w:sz w:val="20"/>
        <w:szCs w:val="20"/>
      </w:rPr>
      <w:t>1</w:t>
    </w:r>
    <w:r w:rsidR="004023AD" w:rsidRPr="00DB1111">
      <w:rPr>
        <w:rFonts w:ascii="Book Antiqua" w:hAnsi="Book Antiqua"/>
        <w:color w:val="646464"/>
        <w:sz w:val="20"/>
        <w:szCs w:val="20"/>
      </w:rPr>
      <w:t xml:space="preserve">, No. </w:t>
    </w:r>
    <w:r w:rsidR="003C686F" w:rsidRPr="00DB1111">
      <w:rPr>
        <w:rFonts w:ascii="Book Antiqua" w:hAnsi="Book Antiqua"/>
        <w:color w:val="646464"/>
        <w:sz w:val="20"/>
        <w:szCs w:val="20"/>
      </w:rPr>
      <w:t>1, May</w:t>
    </w:r>
    <w:r w:rsidR="003C686F">
      <w:rPr>
        <w:rFonts w:ascii="Book Antiqua" w:hAnsi="Book Antiqua"/>
        <w:color w:val="646464"/>
        <w:sz w:val="20"/>
        <w:szCs w:val="20"/>
      </w:rPr>
      <w:t xml:space="preserve"> 2026</w:t>
    </w:r>
    <w:r w:rsidR="004023AD" w:rsidRPr="00DB1111">
      <w:rPr>
        <w:rFonts w:ascii="Book Antiqua" w:hAnsi="Book Antiqua"/>
        <w:color w:val="646464"/>
        <w:sz w:val="20"/>
        <w:szCs w:val="20"/>
      </w:rPr>
      <w:t xml:space="preserve"> · Article ID</w:t>
    </w:r>
    <w:r w:rsidR="00A44EF8" w:rsidRPr="00DB1111">
      <w:rPr>
        <w:rFonts w:ascii="Book Antiqua" w:hAnsi="Book Antiqua"/>
        <w:color w:val="646464"/>
        <w:sz w:val="20"/>
        <w:szCs w:val="20"/>
      </w:rPr>
      <w:t>:000</w:t>
    </w:r>
    <w:r w:rsidR="00F4468B">
      <w:rPr>
        <w:rFonts w:ascii="Book Antiqua" w:hAnsi="Book Antiqua"/>
        <w:color w:val="646464"/>
        <w:sz w:val="20"/>
        <w:szCs w:val="20"/>
      </w:rPr>
      <w:t>2</w:t>
    </w:r>
  </w:p>
  <w:p w14:paraId="3A7BC6E3" w14:textId="77777777" w:rsidR="00562797" w:rsidRDefault="00562797" w:rsidP="004023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75871031">
    <w:abstractNumId w:val="8"/>
  </w:num>
  <w:num w:numId="2" w16cid:durableId="1923755596">
    <w:abstractNumId w:val="6"/>
  </w:num>
  <w:num w:numId="3" w16cid:durableId="320428119">
    <w:abstractNumId w:val="5"/>
  </w:num>
  <w:num w:numId="4" w16cid:durableId="103699755">
    <w:abstractNumId w:val="4"/>
  </w:num>
  <w:num w:numId="5" w16cid:durableId="1260913115">
    <w:abstractNumId w:val="7"/>
  </w:num>
  <w:num w:numId="6" w16cid:durableId="1630280283">
    <w:abstractNumId w:val="3"/>
  </w:num>
  <w:num w:numId="7" w16cid:durableId="903301485">
    <w:abstractNumId w:val="2"/>
  </w:num>
  <w:num w:numId="8" w16cid:durableId="1297370094">
    <w:abstractNumId w:val="1"/>
  </w:num>
  <w:num w:numId="9" w16cid:durableId="1796410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7AD3"/>
    <w:rsid w:val="00034616"/>
    <w:rsid w:val="0006063C"/>
    <w:rsid w:val="000917A3"/>
    <w:rsid w:val="000B62AD"/>
    <w:rsid w:val="000D0DC4"/>
    <w:rsid w:val="0011584D"/>
    <w:rsid w:val="00123589"/>
    <w:rsid w:val="00134130"/>
    <w:rsid w:val="0015074B"/>
    <w:rsid w:val="00170BD9"/>
    <w:rsid w:val="001C4EF2"/>
    <w:rsid w:val="001E007B"/>
    <w:rsid w:val="0029639D"/>
    <w:rsid w:val="002D088E"/>
    <w:rsid w:val="00306FC7"/>
    <w:rsid w:val="00326F90"/>
    <w:rsid w:val="003538E2"/>
    <w:rsid w:val="003C686F"/>
    <w:rsid w:val="003F6FE1"/>
    <w:rsid w:val="004023AD"/>
    <w:rsid w:val="0041505A"/>
    <w:rsid w:val="00437B5B"/>
    <w:rsid w:val="004456A0"/>
    <w:rsid w:val="00451BD0"/>
    <w:rsid w:val="00451C71"/>
    <w:rsid w:val="00562797"/>
    <w:rsid w:val="005D6C09"/>
    <w:rsid w:val="00620EB2"/>
    <w:rsid w:val="00672DAE"/>
    <w:rsid w:val="006935BA"/>
    <w:rsid w:val="006C37AF"/>
    <w:rsid w:val="00730D9D"/>
    <w:rsid w:val="007E6C36"/>
    <w:rsid w:val="007F7545"/>
    <w:rsid w:val="00825C7A"/>
    <w:rsid w:val="008729F9"/>
    <w:rsid w:val="00915354"/>
    <w:rsid w:val="00956BF8"/>
    <w:rsid w:val="009C20E4"/>
    <w:rsid w:val="00A44EF8"/>
    <w:rsid w:val="00AA1D8D"/>
    <w:rsid w:val="00AD730C"/>
    <w:rsid w:val="00B178ED"/>
    <w:rsid w:val="00B37852"/>
    <w:rsid w:val="00B47730"/>
    <w:rsid w:val="00BE6AFE"/>
    <w:rsid w:val="00BF4AD4"/>
    <w:rsid w:val="00C557F9"/>
    <w:rsid w:val="00CB0664"/>
    <w:rsid w:val="00CD7E7C"/>
    <w:rsid w:val="00D12846"/>
    <w:rsid w:val="00D3393C"/>
    <w:rsid w:val="00DB1111"/>
    <w:rsid w:val="00DF355B"/>
    <w:rsid w:val="00E241B1"/>
    <w:rsid w:val="00E731E6"/>
    <w:rsid w:val="00EE1A93"/>
    <w:rsid w:val="00F0085D"/>
    <w:rsid w:val="00F442F2"/>
    <w:rsid w:val="00F4468B"/>
    <w:rsid w:val="00F625AA"/>
    <w:rsid w:val="00FB217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BAE2EEA"/>
  <w14:defaultImageDpi w14:val="300"/>
  <w15:docId w15:val="{AA3F4EA9-4172-4C8B-8EE8-BBF3CED98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Calibri" w:eastAsia="Calibri" w:hAnsi="Calibri"/>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pPr>
      <w:spacing w:after="160" w:line="252" w:lineRule="auto"/>
    </w:pPr>
    <w:rPr>
      <w:rFonts w:ascii="Georgia" w:eastAsia="Georgia" w:hAnsi="Georgia"/>
      <w:b/>
      <w:color w:val="133944"/>
      <w:sz w:val="38"/>
    </w:rPr>
  </w:style>
  <w:style w:type="paragraph" w:customStyle="1" w:styleId="AuthorLine">
    <w:name w:val="Author Line"/>
    <w:pPr>
      <w:spacing w:after="40"/>
    </w:pPr>
    <w:rPr>
      <w:rFonts w:ascii="Calibri" w:hAnsi="Calibri"/>
      <w:b/>
      <w:color w:val="2C2C2C"/>
    </w:rPr>
  </w:style>
  <w:style w:type="paragraph" w:customStyle="1" w:styleId="Affiliation">
    <w:name w:val="Affiliation"/>
    <w:pPr>
      <w:spacing w:after="20"/>
    </w:pPr>
    <w:rPr>
      <w:rFonts w:ascii="Calibri" w:hAnsi="Calibri"/>
      <w:color w:val="505050"/>
      <w:sz w:val="19"/>
    </w:rPr>
  </w:style>
  <w:style w:type="paragraph" w:customStyle="1" w:styleId="MetaLine">
    <w:name w:val="MetaLine"/>
    <w:pPr>
      <w:spacing w:after="120"/>
    </w:pPr>
    <w:rPr>
      <w:rFonts w:ascii="Calibri" w:hAnsi="Calibri"/>
      <w:color w:val="606060"/>
      <w:sz w:val="18"/>
    </w:rPr>
  </w:style>
  <w:style w:type="paragraph" w:customStyle="1" w:styleId="SectionHeadingAIDSAE">
    <w:name w:val="Section Heading AIDSAE"/>
    <w:pPr>
      <w:spacing w:before="240" w:after="80"/>
    </w:pPr>
    <w:rPr>
      <w:rFonts w:ascii="Calibri" w:hAnsi="Calibri"/>
      <w:b/>
      <w:color w:val="0B5A3C"/>
      <w:sz w:val="25"/>
    </w:rPr>
  </w:style>
  <w:style w:type="paragraph" w:customStyle="1" w:styleId="SubheadingAIDSAE">
    <w:name w:val="Subheading AIDSAE"/>
    <w:pPr>
      <w:spacing w:before="160" w:after="40"/>
    </w:pPr>
    <w:rPr>
      <w:rFonts w:ascii="Calibri" w:hAnsi="Calibri"/>
      <w:b/>
      <w:color w:val="212121"/>
      <w:sz w:val="21"/>
    </w:rPr>
  </w:style>
  <w:style w:type="paragraph" w:customStyle="1" w:styleId="AbstractHeading">
    <w:name w:val="Abstract Heading"/>
    <w:pPr>
      <w:spacing w:after="0"/>
    </w:pPr>
    <w:rPr>
      <w:rFonts w:ascii="Calibri" w:hAnsi="Calibri"/>
      <w:b/>
      <w:color w:val="FFFFFF"/>
      <w:sz w:val="21"/>
    </w:rPr>
  </w:style>
  <w:style w:type="paragraph" w:customStyle="1" w:styleId="CaptionAIDSAE">
    <w:name w:val="Caption AIDSAE"/>
    <w:pPr>
      <w:spacing w:before="80" w:after="120"/>
    </w:pPr>
    <w:rPr>
      <w:rFonts w:ascii="Calibri" w:hAnsi="Calibri"/>
      <w:i/>
      <w:color w:val="464646"/>
      <w:sz w:val="18"/>
    </w:rPr>
  </w:style>
  <w:style w:type="paragraph" w:customStyle="1" w:styleId="ReferenceAIDSAE">
    <w:name w:val="Reference AIDSAE"/>
    <w:pPr>
      <w:spacing w:after="60" w:line="259" w:lineRule="auto"/>
      <w:ind w:hanging="357"/>
    </w:pPr>
    <w:rPr>
      <w:rFonts w:ascii="Calibri" w:hAnsi="Calibri"/>
      <w:sz w:val="19"/>
    </w:rPr>
  </w:style>
  <w:style w:type="paragraph" w:customStyle="1" w:styleId="SmallNote">
    <w:name w:val="SmallNote"/>
    <w:pPr>
      <w:spacing w:after="80"/>
    </w:pPr>
    <w:rPr>
      <w:rFonts w:ascii="Calibri" w:hAnsi="Calibri"/>
      <w:i/>
      <w:color w:val="6E6E6E"/>
      <w:sz w:val="17"/>
    </w:rPr>
  </w:style>
  <w:style w:type="paragraph" w:styleId="NormalWeb">
    <w:name w:val="Normal (Web)"/>
    <w:basedOn w:val="Normal"/>
    <w:uiPriority w:val="99"/>
    <w:semiHidden/>
    <w:unhideWhenUsed/>
    <w:rsid w:val="000917A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20EB2"/>
    <w:rPr>
      <w:color w:val="0000FF" w:themeColor="hyperlink"/>
      <w:u w:val="single"/>
    </w:rPr>
  </w:style>
  <w:style w:type="character" w:styleId="UnresolvedMention">
    <w:name w:val="Unresolved Mention"/>
    <w:basedOn w:val="DefaultParagraphFont"/>
    <w:uiPriority w:val="99"/>
    <w:semiHidden/>
    <w:unhideWhenUsed/>
    <w:rsid w:val="00620E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96540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oscribepublishers.com/journals/index.php/gphhs" TargetMode="External"/><Relationship Id="rId13" Type="http://schemas.openxmlformats.org/officeDocument/2006/relationships/hyperlink" Target="https://creativecommons.org/licenses/by/4.0/"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coscribepublishers.com/journals/index.php/gphhs"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yperlink" Target="mailto:Madieshamran81@gmail.com" TargetMode="External"/><Relationship Id="rId10" Type="http://schemas.openxmlformats.org/officeDocument/2006/relationships/hyperlink" Target="https://ecoscribepublishers.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hyperlink" Target="https://ecoscribepublisher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15</Pages>
  <Words>7237</Words>
  <Characters>41257</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48398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Nalubega et al., (2026)</dc:creator>
  <cp:keywords/>
  <dc:description>generated by python-docx</dc:description>
  <cp:lastModifiedBy>Muhammad Lubowa</cp:lastModifiedBy>
  <cp:revision>14</cp:revision>
  <dcterms:created xsi:type="dcterms:W3CDTF">2026-05-21T16:31:00Z</dcterms:created>
  <dcterms:modified xsi:type="dcterms:W3CDTF">2026-05-24T09:43:00Z</dcterms:modified>
  <cp:category/>
</cp:coreProperties>
</file>